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33" w:rsidRDefault="003A221E">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sidRPr="003A221E">
        <w:rPr>
          <w:rFonts w:ascii="Times New Roman" w:eastAsiaTheme="majorEastAsia" w:hAnsi="Times New Roman" w:cstheme="majorBidi"/>
          <w:b w:val="0"/>
          <w:bCs w:val="0"/>
          <w:color w:val="000080"/>
          <w:spacing w:val="5"/>
          <w:sz w:val="72"/>
          <w:szCs w:val="52"/>
        </w:rPr>
        <w:t xml:space="preserve">CRC </w:t>
      </w:r>
      <w:r w:rsidR="009A603F">
        <w:rPr>
          <w:rFonts w:ascii="Times New Roman" w:eastAsiaTheme="majorEastAsia" w:hAnsi="Times New Roman" w:cstheme="majorBidi"/>
          <w:b w:val="0"/>
          <w:bCs w:val="0"/>
          <w:color w:val="000080"/>
          <w:spacing w:val="5"/>
          <w:sz w:val="72"/>
          <w:szCs w:val="52"/>
        </w:rPr>
        <w:t xml:space="preserve">Drill </w:t>
      </w:r>
      <w:r w:rsidRPr="003A221E">
        <w:rPr>
          <w:rFonts w:ascii="Times New Roman" w:eastAsiaTheme="majorEastAsia" w:hAnsi="Times New Roman" w:cstheme="majorBidi"/>
          <w:b w:val="0"/>
          <w:bCs w:val="0"/>
          <w:color w:val="000080"/>
          <w:spacing w:val="5"/>
          <w:sz w:val="72"/>
          <w:szCs w:val="52"/>
        </w:rPr>
        <w:t>Toolkit</w:t>
      </w:r>
      <w:r w:rsidR="00AE6AF7">
        <w:rPr>
          <w:rFonts w:ascii="Times New Roman" w:eastAsiaTheme="majorEastAsia" w:hAnsi="Times New Roman" w:cstheme="majorBidi"/>
          <w:b w:val="0"/>
          <w:bCs w:val="0"/>
          <w:color w:val="000080"/>
          <w:spacing w:val="5"/>
          <w:sz w:val="72"/>
          <w:szCs w:val="52"/>
        </w:rPr>
        <w:t xml:space="preserve"> – </w:t>
      </w:r>
      <w:r w:rsidR="00C27904">
        <w:rPr>
          <w:rFonts w:ascii="Times New Roman" w:eastAsiaTheme="majorEastAsia" w:hAnsi="Times New Roman" w:cstheme="majorBidi"/>
          <w:b w:val="0"/>
          <w:bCs w:val="0"/>
          <w:color w:val="000080"/>
          <w:spacing w:val="5"/>
          <w:sz w:val="72"/>
          <w:szCs w:val="52"/>
        </w:rPr>
        <w:t>Symptomology</w:t>
      </w:r>
      <w:r w:rsidR="00AE6AF7">
        <w:rPr>
          <w:rFonts w:ascii="Times New Roman" w:eastAsiaTheme="majorEastAsia" w:hAnsi="Times New Roman" w:cstheme="majorBidi"/>
          <w:b w:val="0"/>
          <w:bCs w:val="0"/>
          <w:color w:val="000080"/>
          <w:spacing w:val="5"/>
          <w:sz w:val="72"/>
          <w:szCs w:val="52"/>
        </w:rPr>
        <w:t xml:space="preserve"> Cards</w:t>
      </w:r>
    </w:p>
    <w:p w:rsidR="00A43A33" w:rsidRPr="00783E2A" w:rsidRDefault="003A221E" w:rsidP="00783E2A">
      <w:pPr>
        <w:pStyle w:val="Subtitle"/>
      </w:pPr>
      <w:r w:rsidRPr="00783E2A">
        <w:t>Instructions for Use</w:t>
      </w:r>
    </w:p>
    <w:p w:rsidR="00783E2A" w:rsidRDefault="00783E2A" w:rsidP="005858F2">
      <w:pPr>
        <w:rPr>
          <w:rFonts w:ascii="Arial" w:eastAsiaTheme="majorEastAsia" w:hAnsi="Arial"/>
          <w:iCs/>
          <w:color w:val="404040" w:themeColor="text1" w:themeTint="BF"/>
          <w:spacing w:val="15"/>
        </w:rPr>
      </w:pPr>
    </w:p>
    <w:p w:rsidR="005858F2" w:rsidRPr="005858F2" w:rsidRDefault="005858F2" w:rsidP="005858F2">
      <w:pPr>
        <w:rPr>
          <w:rFonts w:ascii="Arial" w:eastAsiaTheme="majorEastAsia" w:hAnsi="Arial"/>
          <w:iCs/>
          <w:color w:val="404040" w:themeColor="text1" w:themeTint="BF"/>
          <w:spacing w:val="15"/>
        </w:rPr>
      </w:pPr>
      <w:r w:rsidRPr="005858F2">
        <w:rPr>
          <w:rFonts w:ascii="Arial" w:eastAsiaTheme="majorEastAsia" w:hAnsi="Arial"/>
          <w:iCs/>
          <w:color w:val="404040" w:themeColor="text1" w:themeTint="BF"/>
          <w:spacing w:val="15"/>
        </w:rPr>
        <w:t>September 2015</w:t>
      </w:r>
    </w:p>
    <w:p w:rsidR="00D45A7B" w:rsidRDefault="00D45A7B" w:rsidP="00F54B4C">
      <w:pPr>
        <w:pStyle w:val="CoverPageSummary"/>
      </w:pPr>
    </w:p>
    <w:p w:rsidR="005858F2" w:rsidRDefault="005858F2" w:rsidP="00F54B4C">
      <w:pPr>
        <w:pStyle w:val="CoverPageSummary"/>
      </w:pPr>
    </w:p>
    <w:p w:rsidR="005858F2" w:rsidRDefault="005858F2" w:rsidP="00F54B4C">
      <w:pPr>
        <w:pStyle w:val="CoverPageSummary"/>
      </w:pPr>
    </w:p>
    <w:p w:rsidR="005858F2" w:rsidRDefault="005858F2" w:rsidP="00F54B4C">
      <w:pPr>
        <w:pStyle w:val="CoverPageSummary"/>
      </w:pPr>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8039100</wp:posOffset>
            </wp:positionV>
            <wp:extent cx="5943600" cy="9144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30000"/>
                    </a:blip>
                    <a:srcRect/>
                    <a:stretch>
                      <a:fillRect/>
                    </a:stretch>
                  </pic:blipFill>
                  <pic:spPr bwMode="auto">
                    <a:xfrm>
                      <a:off x="0" y="0"/>
                      <a:ext cx="5943600" cy="914400"/>
                    </a:xfrm>
                    <a:prstGeom prst="rect">
                      <a:avLst/>
                    </a:prstGeom>
                    <a:noFill/>
                    <a:ln w="3175">
                      <a:noFill/>
                      <a:miter lim="800000"/>
                      <a:headEnd/>
                      <a:tailEnd/>
                    </a:ln>
                  </pic:spPr>
                </pic:pic>
              </a:graphicData>
            </a:graphic>
          </wp:anchor>
        </w:drawing>
      </w:r>
    </w:p>
    <w:p w:rsidR="005858F2" w:rsidRDefault="005858F2" w:rsidP="00F54B4C">
      <w:pPr>
        <w:pStyle w:val="CoverPageSummary"/>
        <w:sectPr w:rsidR="005858F2" w:rsidSect="00853864">
          <w:headerReference w:type="default" r:id="rId9"/>
          <w:pgSz w:w="12240" w:h="15840" w:code="1"/>
          <w:pgMar w:top="1440" w:right="1440" w:bottom="1440" w:left="1440" w:header="72" w:footer="1032" w:gutter="0"/>
          <w:pgNumType w:fmt="lowerRoman" w:start="2"/>
          <w:cols w:space="720"/>
          <w:titlePg/>
          <w:docGrid w:linePitch="360"/>
        </w:sectPr>
      </w:pPr>
    </w:p>
    <w:p w:rsidR="00282361" w:rsidRDefault="00EF7909" w:rsidP="00282361">
      <w:pPr>
        <w:pStyle w:val="Heading2"/>
        <w:rPr>
          <w:kern w:val="32"/>
        </w:rPr>
      </w:pPr>
      <w:r>
        <w:rPr>
          <w:kern w:val="32"/>
        </w:rPr>
        <w:lastRenderedPageBreak/>
        <w:t>B</w:t>
      </w:r>
      <w:r w:rsidR="00282361">
        <w:rPr>
          <w:kern w:val="32"/>
        </w:rPr>
        <w:t xml:space="preserve">asic Concept </w:t>
      </w:r>
    </w:p>
    <w:p w:rsidR="00305ED5" w:rsidRDefault="00783E2A" w:rsidP="00D46C0C">
      <w:pPr>
        <w:rPr>
          <w:kern w:val="32"/>
        </w:rPr>
      </w:pPr>
      <w:r>
        <w:rPr>
          <w:kern w:val="32"/>
        </w:rPr>
        <w:t>To drive drill play, t</w:t>
      </w:r>
      <w:r w:rsidR="002B6CBA">
        <w:rPr>
          <w:kern w:val="32"/>
        </w:rPr>
        <w:t xml:space="preserve">he </w:t>
      </w:r>
      <w:r>
        <w:rPr>
          <w:kern w:val="32"/>
        </w:rPr>
        <w:t xml:space="preserve">CRC </w:t>
      </w:r>
      <w:r w:rsidR="002B6CBA">
        <w:rPr>
          <w:kern w:val="32"/>
        </w:rPr>
        <w:t>Toolkit includes</w:t>
      </w:r>
      <w:r w:rsidR="00C27904" w:rsidRPr="00C27904">
        <w:rPr>
          <w:kern w:val="32"/>
        </w:rPr>
        <w:t xml:space="preserve"> two types of Symptomology Cards: </w:t>
      </w:r>
      <w:r w:rsidR="00C27904" w:rsidRPr="00B549D8">
        <w:rPr>
          <w:b/>
          <w:kern w:val="32"/>
        </w:rPr>
        <w:t>Actor Cards</w:t>
      </w:r>
      <w:r w:rsidR="00C27904" w:rsidRPr="00C27904">
        <w:rPr>
          <w:kern w:val="32"/>
        </w:rPr>
        <w:t xml:space="preserve"> and </w:t>
      </w:r>
      <w:r w:rsidR="00C27904" w:rsidRPr="00B549D8">
        <w:rPr>
          <w:b/>
          <w:kern w:val="32"/>
        </w:rPr>
        <w:t>Contamination Cards</w:t>
      </w:r>
      <w:r w:rsidR="00C27904" w:rsidRPr="00C27904">
        <w:rPr>
          <w:kern w:val="32"/>
        </w:rPr>
        <w:t xml:space="preserve">. The </w:t>
      </w:r>
      <w:r>
        <w:rPr>
          <w:kern w:val="32"/>
        </w:rPr>
        <w:t xml:space="preserve">Actor Cards describe the </w:t>
      </w:r>
      <w:r w:rsidR="00C27904" w:rsidRPr="00C27904">
        <w:rPr>
          <w:kern w:val="32"/>
        </w:rPr>
        <w:t xml:space="preserve">demographic, situational, and behavioral characteristics </w:t>
      </w:r>
      <w:r>
        <w:rPr>
          <w:kern w:val="32"/>
        </w:rPr>
        <w:t xml:space="preserve">of </w:t>
      </w:r>
      <w:r w:rsidRPr="00783E2A">
        <w:rPr>
          <w:kern w:val="32"/>
        </w:rPr>
        <w:t>individuals presenting at the CRC</w:t>
      </w:r>
      <w:r w:rsidR="002B6CBA">
        <w:rPr>
          <w:kern w:val="32"/>
        </w:rPr>
        <w:t>,</w:t>
      </w:r>
      <w:r w:rsidR="00C27904" w:rsidRPr="00C27904">
        <w:rPr>
          <w:kern w:val="32"/>
        </w:rPr>
        <w:t xml:space="preserve"> and the </w:t>
      </w:r>
      <w:r>
        <w:rPr>
          <w:kern w:val="32"/>
        </w:rPr>
        <w:t xml:space="preserve">Contamination Cards provide simulated </w:t>
      </w:r>
      <w:r w:rsidR="00C27904" w:rsidRPr="00C27904">
        <w:rPr>
          <w:kern w:val="32"/>
        </w:rPr>
        <w:t>radiological data</w:t>
      </w:r>
      <w:r w:rsidR="00305ED5">
        <w:rPr>
          <w:kern w:val="32"/>
        </w:rPr>
        <w:t xml:space="preserve"> for those individuals</w:t>
      </w:r>
      <w:r>
        <w:rPr>
          <w:kern w:val="32"/>
        </w:rPr>
        <w:t>.</w:t>
      </w:r>
    </w:p>
    <w:p w:rsidR="00305ED5" w:rsidRDefault="00305ED5" w:rsidP="00D46C0C">
      <w:pPr>
        <w:rPr>
          <w:kern w:val="32"/>
        </w:rPr>
      </w:pPr>
    </w:p>
    <w:p w:rsidR="00305ED5" w:rsidRDefault="00305ED5" w:rsidP="00D46C0C">
      <w:pPr>
        <w:rPr>
          <w:kern w:val="32"/>
        </w:rPr>
      </w:pPr>
      <w:r>
        <w:rPr>
          <w:kern w:val="32"/>
        </w:rPr>
        <w:t>People</w:t>
      </w:r>
      <w:r w:rsidR="00C27904" w:rsidRPr="00C27904">
        <w:rPr>
          <w:kern w:val="32"/>
        </w:rPr>
        <w:t xml:space="preserve"> going through the </w:t>
      </w:r>
      <w:r w:rsidR="002B6CBA">
        <w:rPr>
          <w:kern w:val="32"/>
        </w:rPr>
        <w:t>Community Reception Center (</w:t>
      </w:r>
      <w:r w:rsidR="00C27904" w:rsidRPr="00C27904">
        <w:rPr>
          <w:kern w:val="32"/>
        </w:rPr>
        <w:t>CRC</w:t>
      </w:r>
      <w:r w:rsidR="002B6CBA">
        <w:rPr>
          <w:kern w:val="32"/>
        </w:rPr>
        <w:t>)</w:t>
      </w:r>
      <w:r w:rsidR="00C27904" w:rsidRPr="00C27904">
        <w:rPr>
          <w:kern w:val="32"/>
        </w:rPr>
        <w:t xml:space="preserve"> </w:t>
      </w:r>
      <w:r w:rsidR="00C11DD0">
        <w:rPr>
          <w:kern w:val="32"/>
        </w:rPr>
        <w:t xml:space="preserve">will </w:t>
      </w:r>
      <w:r w:rsidR="00853864">
        <w:rPr>
          <w:kern w:val="32"/>
        </w:rPr>
        <w:t xml:space="preserve">receive </w:t>
      </w:r>
      <w:r w:rsidR="00C27904" w:rsidRPr="00C27904">
        <w:rPr>
          <w:kern w:val="32"/>
        </w:rPr>
        <w:t xml:space="preserve">one of each card type, with the combination of the two cards </w:t>
      </w:r>
      <w:r>
        <w:rPr>
          <w:kern w:val="32"/>
        </w:rPr>
        <w:t xml:space="preserve">providing a snapshot of a person’s situation: characteristics, </w:t>
      </w:r>
      <w:r w:rsidR="00C27904" w:rsidRPr="00C27904">
        <w:rPr>
          <w:kern w:val="32"/>
        </w:rPr>
        <w:t>contamination status</w:t>
      </w:r>
      <w:r>
        <w:rPr>
          <w:kern w:val="32"/>
        </w:rPr>
        <w:t>, symptoms, behaviors, etc.</w:t>
      </w:r>
    </w:p>
    <w:p w:rsidR="00305ED5" w:rsidRDefault="00305ED5" w:rsidP="00D46C0C">
      <w:pPr>
        <w:rPr>
          <w:kern w:val="32"/>
        </w:rPr>
      </w:pPr>
    </w:p>
    <w:p w:rsidR="00EB68CD" w:rsidRDefault="00783E2A" w:rsidP="00D46C0C">
      <w:pPr>
        <w:rPr>
          <w:kern w:val="32"/>
        </w:rPr>
      </w:pPr>
      <w:r>
        <w:rPr>
          <w:kern w:val="32"/>
        </w:rPr>
        <w:t>The Toolkit includes 100 pre-populated Contamination Cards and 1</w:t>
      </w:r>
      <w:r w:rsidR="00795CD2">
        <w:rPr>
          <w:kern w:val="32"/>
        </w:rPr>
        <w:t>05</w:t>
      </w:r>
      <w:r>
        <w:rPr>
          <w:kern w:val="32"/>
        </w:rPr>
        <w:t xml:space="preserve"> pre-populated Actor Cards.</w:t>
      </w:r>
      <w:r w:rsidR="00C11DD0">
        <w:rPr>
          <w:kern w:val="32"/>
        </w:rPr>
        <w:t xml:space="preserve"> The cards </w:t>
      </w:r>
      <w:r w:rsidR="00EB68CD" w:rsidRPr="00282361">
        <w:rPr>
          <w:kern w:val="32"/>
        </w:rPr>
        <w:t>are designed to be printed on one-sided paper or card stock and cut and folded according to the lines on the page</w:t>
      </w:r>
      <w:r w:rsidR="00EB68CD">
        <w:rPr>
          <w:kern w:val="32"/>
        </w:rPr>
        <w:t xml:space="preserve"> (Contamination Cards) or in half (Actor Cards)</w:t>
      </w:r>
      <w:r w:rsidR="00EB68CD" w:rsidRPr="00282361">
        <w:rPr>
          <w:kern w:val="32"/>
        </w:rPr>
        <w:t>. This enables the card</w:t>
      </w:r>
      <w:r w:rsidR="00EB68CD">
        <w:rPr>
          <w:kern w:val="32"/>
        </w:rPr>
        <w:t>s</w:t>
      </w:r>
      <w:r w:rsidR="00EB68CD" w:rsidRPr="00282361">
        <w:rPr>
          <w:kern w:val="32"/>
        </w:rPr>
        <w:t xml:space="preserve"> to be easily produced without </w:t>
      </w:r>
      <w:r w:rsidR="00055900">
        <w:rPr>
          <w:kern w:val="32"/>
        </w:rPr>
        <w:t>the need for</w:t>
      </w:r>
      <w:r w:rsidR="00C11DD0">
        <w:rPr>
          <w:kern w:val="32"/>
        </w:rPr>
        <w:t xml:space="preserve"> </w:t>
      </w:r>
      <w:r w:rsidR="00EB68CD" w:rsidRPr="00282361">
        <w:rPr>
          <w:kern w:val="32"/>
        </w:rPr>
        <w:t>duplex printing capability</w:t>
      </w:r>
      <w:r w:rsidR="00EB68CD">
        <w:rPr>
          <w:kern w:val="32"/>
        </w:rPr>
        <w:t>. T</w:t>
      </w:r>
      <w:r w:rsidR="00EB68CD" w:rsidRPr="00282361">
        <w:rPr>
          <w:kern w:val="32"/>
        </w:rPr>
        <w:t xml:space="preserve">he cards can be printed in color or in black and white. </w:t>
      </w:r>
      <w:r w:rsidR="00EB68CD">
        <w:rPr>
          <w:kern w:val="32"/>
        </w:rPr>
        <w:t xml:space="preserve">The cards can also be laminated, but it is not necessary to do so. </w:t>
      </w:r>
    </w:p>
    <w:p w:rsidR="00C11DD0" w:rsidRDefault="00C11DD0" w:rsidP="00C11DD0">
      <w:pPr>
        <w:pStyle w:val="Heading2"/>
        <w:rPr>
          <w:kern w:val="32"/>
        </w:rPr>
      </w:pPr>
      <w:r>
        <w:rPr>
          <w:kern w:val="32"/>
        </w:rPr>
        <w:t>Actor Cards</w:t>
      </w:r>
    </w:p>
    <w:p w:rsidR="00C25DE8" w:rsidRDefault="004640B7" w:rsidP="00C25DE8">
      <w:pPr>
        <w:rPr>
          <w:kern w:val="32"/>
        </w:rPr>
      </w:pPr>
      <w:r w:rsidRPr="004640B7">
        <w:rPr>
          <w:kern w:val="32"/>
        </w:rPr>
        <w:t xml:space="preserve">Actor Cards provide the all of the </w:t>
      </w:r>
      <w:r w:rsidRPr="00B549D8">
        <w:rPr>
          <w:i/>
          <w:kern w:val="32"/>
        </w:rPr>
        <w:t>non-radiological</w:t>
      </w:r>
      <w:r w:rsidRPr="004640B7">
        <w:rPr>
          <w:kern w:val="32"/>
        </w:rPr>
        <w:t xml:space="preserve"> information about individuals presenting at the CRC. This includes basic demographics and other relevant characteristics, as well as any behaviors, signs</w:t>
      </w:r>
      <w:r w:rsidR="00055900">
        <w:rPr>
          <w:kern w:val="32"/>
        </w:rPr>
        <w:t>,</w:t>
      </w:r>
      <w:r w:rsidRPr="004640B7">
        <w:rPr>
          <w:kern w:val="32"/>
        </w:rPr>
        <w:t xml:space="preserve"> or symptoms taking place. </w:t>
      </w:r>
      <w:r w:rsidR="00C25DE8">
        <w:rPr>
          <w:kern w:val="32"/>
        </w:rPr>
        <w:t xml:space="preserve">In </w:t>
      </w:r>
      <w:r w:rsidR="00C25DE8" w:rsidRPr="00C25DE8">
        <w:rPr>
          <w:kern w:val="32"/>
        </w:rPr>
        <w:t>some cases, Actor Card</w:t>
      </w:r>
      <w:r w:rsidR="00C25DE8">
        <w:rPr>
          <w:kern w:val="32"/>
        </w:rPr>
        <w:t>s</w:t>
      </w:r>
      <w:r w:rsidR="00C25DE8" w:rsidRPr="00C25DE8">
        <w:rPr>
          <w:kern w:val="32"/>
        </w:rPr>
        <w:t xml:space="preserve"> may instruct </w:t>
      </w:r>
      <w:r w:rsidR="00C25DE8">
        <w:rPr>
          <w:kern w:val="32"/>
        </w:rPr>
        <w:t xml:space="preserve">an Actor to </w:t>
      </w:r>
      <w:r w:rsidR="00C25DE8" w:rsidRPr="00C25DE8">
        <w:rPr>
          <w:kern w:val="32"/>
        </w:rPr>
        <w:t xml:space="preserve">basically portray </w:t>
      </w:r>
      <w:r w:rsidR="00C25DE8">
        <w:rPr>
          <w:kern w:val="32"/>
        </w:rPr>
        <w:t xml:space="preserve">himself/herself </w:t>
      </w:r>
      <w:r w:rsidR="00C25DE8" w:rsidRPr="00C25DE8">
        <w:rPr>
          <w:kern w:val="32"/>
        </w:rPr>
        <w:t>(</w:t>
      </w:r>
      <w:r w:rsidR="00C25DE8">
        <w:rPr>
          <w:kern w:val="32"/>
        </w:rPr>
        <w:t xml:space="preserve">age, gender, etc.). </w:t>
      </w:r>
      <w:r w:rsidR="00C25DE8" w:rsidRPr="00C25DE8">
        <w:rPr>
          <w:kern w:val="32"/>
        </w:rPr>
        <w:t xml:space="preserve">In </w:t>
      </w:r>
      <w:r w:rsidR="00C25DE8">
        <w:rPr>
          <w:kern w:val="32"/>
        </w:rPr>
        <w:t xml:space="preserve">other </w:t>
      </w:r>
      <w:r w:rsidR="00C25DE8" w:rsidRPr="00C25DE8">
        <w:rPr>
          <w:kern w:val="32"/>
        </w:rPr>
        <w:t xml:space="preserve">cases, Actor Cards may call for a greater level of acting. For example, </w:t>
      </w:r>
      <w:r w:rsidR="00C25DE8">
        <w:rPr>
          <w:kern w:val="32"/>
        </w:rPr>
        <w:t xml:space="preserve">a card may call for the Actor </w:t>
      </w:r>
      <w:r w:rsidR="00C25DE8" w:rsidRPr="00C25DE8">
        <w:rPr>
          <w:kern w:val="32"/>
        </w:rPr>
        <w:t xml:space="preserve">to portray someone who does not speak English, is upset or </w:t>
      </w:r>
      <w:r w:rsidR="00C25DE8">
        <w:rPr>
          <w:kern w:val="32"/>
        </w:rPr>
        <w:t>fearful</w:t>
      </w:r>
      <w:r w:rsidR="00C25DE8" w:rsidRPr="00C25DE8">
        <w:rPr>
          <w:kern w:val="32"/>
        </w:rPr>
        <w:t>, or any of a number of other possibilities CRC staff might encounter in a real emergency situation.</w:t>
      </w:r>
      <w:r w:rsidR="00055900">
        <w:rPr>
          <w:kern w:val="32"/>
        </w:rPr>
        <w:t xml:space="preserve"> </w:t>
      </w:r>
      <w:r w:rsidR="00C25DE8">
        <w:rPr>
          <w:kern w:val="32"/>
        </w:rPr>
        <w:t xml:space="preserve">The Actor Card </w:t>
      </w:r>
      <w:r w:rsidR="00C25DE8" w:rsidRPr="004640B7">
        <w:rPr>
          <w:kern w:val="32"/>
        </w:rPr>
        <w:t xml:space="preserve">provides an Actor with all the information he or she needs to </w:t>
      </w:r>
      <w:r w:rsidR="00C25DE8">
        <w:rPr>
          <w:kern w:val="32"/>
        </w:rPr>
        <w:t xml:space="preserve">effectively </w:t>
      </w:r>
      <w:r w:rsidR="00C25DE8" w:rsidRPr="004640B7">
        <w:rPr>
          <w:kern w:val="32"/>
        </w:rPr>
        <w:t>play the role of someone going through the CRC, except for the radiological contamination data.</w:t>
      </w:r>
      <w:r w:rsidR="00C25DE8">
        <w:rPr>
          <w:kern w:val="32"/>
        </w:rPr>
        <w:t xml:space="preserve"> (That </w:t>
      </w:r>
      <w:r w:rsidR="00305ED5">
        <w:rPr>
          <w:kern w:val="32"/>
        </w:rPr>
        <w:t xml:space="preserve">information </w:t>
      </w:r>
      <w:r w:rsidR="00C25DE8">
        <w:rPr>
          <w:kern w:val="32"/>
        </w:rPr>
        <w:t xml:space="preserve">is provided </w:t>
      </w:r>
      <w:r w:rsidR="00305ED5">
        <w:rPr>
          <w:kern w:val="32"/>
        </w:rPr>
        <w:t>on</w:t>
      </w:r>
      <w:r w:rsidR="00C25DE8">
        <w:rPr>
          <w:kern w:val="32"/>
        </w:rPr>
        <w:t xml:space="preserve"> the Contamination Card, discussed below.)</w:t>
      </w:r>
    </w:p>
    <w:p w:rsidR="00C25DE8" w:rsidRDefault="00C25DE8" w:rsidP="00C11DD0">
      <w:pPr>
        <w:rPr>
          <w:kern w:val="32"/>
        </w:rPr>
      </w:pPr>
    </w:p>
    <w:p w:rsidR="00853864" w:rsidRDefault="0066162D" w:rsidP="00C11DD0">
      <w:pPr>
        <w:rPr>
          <w:kern w:val="32"/>
        </w:rPr>
      </w:pPr>
      <w:r w:rsidRPr="0066162D">
        <w:rPr>
          <w:kern w:val="32"/>
        </w:rPr>
        <w:t xml:space="preserve">The front side of </w:t>
      </w:r>
      <w:r w:rsidR="00C25DE8">
        <w:rPr>
          <w:kern w:val="32"/>
        </w:rPr>
        <w:t>an</w:t>
      </w:r>
      <w:r w:rsidRPr="0066162D">
        <w:rPr>
          <w:kern w:val="32"/>
        </w:rPr>
        <w:t xml:space="preserve"> </w:t>
      </w:r>
      <w:r w:rsidR="00853864">
        <w:rPr>
          <w:kern w:val="32"/>
        </w:rPr>
        <w:t xml:space="preserve">Actor </w:t>
      </w:r>
      <w:r w:rsidRPr="0066162D">
        <w:rPr>
          <w:kern w:val="32"/>
        </w:rPr>
        <w:t xml:space="preserve">card </w:t>
      </w:r>
      <w:r w:rsidR="00853864">
        <w:rPr>
          <w:kern w:val="32"/>
        </w:rPr>
        <w:t xml:space="preserve">has three sections. The first section </w:t>
      </w:r>
      <w:r w:rsidRPr="0066162D">
        <w:rPr>
          <w:kern w:val="32"/>
        </w:rPr>
        <w:t>provides</w:t>
      </w:r>
      <w:r w:rsidR="00853864">
        <w:rPr>
          <w:kern w:val="32"/>
        </w:rPr>
        <w:t xml:space="preserve"> the number of the card (from 1 to 1</w:t>
      </w:r>
      <w:r w:rsidR="00795CD2">
        <w:rPr>
          <w:kern w:val="32"/>
        </w:rPr>
        <w:t>05</w:t>
      </w:r>
      <w:r w:rsidR="00853864">
        <w:rPr>
          <w:kern w:val="32"/>
        </w:rPr>
        <w:t>). The second section furnishes basic demographic details such as the person’s age and gender, as well as any other relevant information (e.g., that the person is hearing-impaired).</w:t>
      </w:r>
      <w:r w:rsidR="00055900">
        <w:rPr>
          <w:kern w:val="32"/>
        </w:rPr>
        <w:t xml:space="preserve"> </w:t>
      </w:r>
      <w:r w:rsidR="00853864">
        <w:rPr>
          <w:kern w:val="32"/>
        </w:rPr>
        <w:t>The third section indicates whether the person is experiencing any unusual signs, symptoms or behaviors.</w:t>
      </w:r>
      <w:r w:rsidR="00055900">
        <w:rPr>
          <w:kern w:val="32"/>
        </w:rPr>
        <w:t xml:space="preserve"> </w:t>
      </w:r>
      <w:r w:rsidR="00853864">
        <w:rPr>
          <w:kern w:val="32"/>
        </w:rPr>
        <w:t xml:space="preserve">The back side of the Actor Card provides the person playing the role with detailed information on how to behave, what to say, how to interact with drill participants, etc. For examples of Actor Cards, see </w:t>
      </w:r>
      <w:r w:rsidRPr="0066162D">
        <w:rPr>
          <w:kern w:val="32"/>
        </w:rPr>
        <w:t>Appendix A</w:t>
      </w:r>
      <w:r w:rsidR="00853864">
        <w:rPr>
          <w:kern w:val="32"/>
        </w:rPr>
        <w:t>.</w:t>
      </w:r>
    </w:p>
    <w:p w:rsidR="00C11DD0" w:rsidRDefault="00C11DD0" w:rsidP="00C11DD0">
      <w:pPr>
        <w:pStyle w:val="Heading3"/>
        <w:rPr>
          <w:kern w:val="32"/>
        </w:rPr>
      </w:pPr>
      <w:r>
        <w:t>Drill Planning Considerations</w:t>
      </w:r>
    </w:p>
    <w:p w:rsidR="00906332" w:rsidRDefault="00845196" w:rsidP="00906332">
      <w:pPr>
        <w:rPr>
          <w:kern w:val="32"/>
        </w:rPr>
      </w:pPr>
      <w:r w:rsidRPr="00F26C0A">
        <w:rPr>
          <w:b/>
          <w:noProof/>
          <w:kern w:val="32"/>
        </w:rPr>
        <w:drawing>
          <wp:anchor distT="0" distB="0" distL="114300" distR="114300" simplePos="0" relativeHeight="251689984" behindDoc="0" locked="0" layoutInCell="1" allowOverlap="1">
            <wp:simplePos x="0" y="0"/>
            <wp:positionH relativeFrom="margin">
              <wp:posOffset>1600200</wp:posOffset>
            </wp:positionH>
            <wp:positionV relativeFrom="margin">
              <wp:posOffset>17481550</wp:posOffset>
            </wp:positionV>
            <wp:extent cx="3048000" cy="1200150"/>
            <wp:effectExtent l="19050" t="19050" r="19050" b="190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389" b="36111"/>
                    <a:stretch/>
                  </pic:blipFill>
                  <pic:spPr bwMode="auto">
                    <a:xfrm>
                      <a:off x="0" y="0"/>
                      <a:ext cx="3048000" cy="120015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F26C0A" w:rsidRPr="00F26C0A">
        <w:rPr>
          <w:b/>
          <w:kern w:val="32"/>
        </w:rPr>
        <w:t>Drill Size</w:t>
      </w:r>
      <w:r w:rsidR="00F26C0A">
        <w:rPr>
          <w:kern w:val="32"/>
        </w:rPr>
        <w:t xml:space="preserve">: </w:t>
      </w:r>
      <w:r w:rsidR="0066162D" w:rsidRPr="0066162D">
        <w:rPr>
          <w:kern w:val="32"/>
        </w:rPr>
        <w:t xml:space="preserve">The Toolkit includes </w:t>
      </w:r>
      <w:r w:rsidR="00755E99">
        <w:rPr>
          <w:kern w:val="32"/>
        </w:rPr>
        <w:t xml:space="preserve">a total of </w:t>
      </w:r>
      <w:r w:rsidR="0066162D" w:rsidRPr="0066162D">
        <w:rPr>
          <w:kern w:val="32"/>
        </w:rPr>
        <w:t>1</w:t>
      </w:r>
      <w:r w:rsidR="00795CD2">
        <w:rPr>
          <w:kern w:val="32"/>
        </w:rPr>
        <w:t>05</w:t>
      </w:r>
      <w:r w:rsidR="0066162D" w:rsidRPr="0066162D">
        <w:rPr>
          <w:kern w:val="32"/>
        </w:rPr>
        <w:t xml:space="preserve"> </w:t>
      </w:r>
      <w:r w:rsidR="0066162D">
        <w:rPr>
          <w:kern w:val="32"/>
        </w:rPr>
        <w:t xml:space="preserve">Actor Cards </w:t>
      </w:r>
      <w:r w:rsidR="0066162D" w:rsidRPr="0066162D">
        <w:rPr>
          <w:kern w:val="32"/>
        </w:rPr>
        <w:t xml:space="preserve">in both Adobe Acrobat and Microsoft </w:t>
      </w:r>
      <w:r w:rsidR="00055900">
        <w:rPr>
          <w:kern w:val="32"/>
        </w:rPr>
        <w:t>PowerPoint (editable)</w:t>
      </w:r>
      <w:r w:rsidR="0066162D">
        <w:rPr>
          <w:kern w:val="32"/>
        </w:rPr>
        <w:t xml:space="preserve"> </w:t>
      </w:r>
      <w:r w:rsidR="0066162D" w:rsidRPr="0066162D">
        <w:rPr>
          <w:kern w:val="32"/>
        </w:rPr>
        <w:t xml:space="preserve">formats. </w:t>
      </w:r>
      <w:r w:rsidR="0066162D" w:rsidRPr="00C071A4">
        <w:rPr>
          <w:kern w:val="32"/>
        </w:rPr>
        <w:t>A sma</w:t>
      </w:r>
      <w:r w:rsidR="0066162D">
        <w:rPr>
          <w:kern w:val="32"/>
        </w:rPr>
        <w:t xml:space="preserve">ller drill might </w:t>
      </w:r>
      <w:r w:rsidR="00755E99">
        <w:rPr>
          <w:kern w:val="32"/>
        </w:rPr>
        <w:t>use the 1</w:t>
      </w:r>
      <w:r w:rsidR="00795CD2">
        <w:rPr>
          <w:kern w:val="32"/>
        </w:rPr>
        <w:t>05</w:t>
      </w:r>
      <w:r w:rsidR="00755E99">
        <w:rPr>
          <w:kern w:val="32"/>
        </w:rPr>
        <w:t xml:space="preserve"> cards (or perhaps even a portion of them) </w:t>
      </w:r>
      <w:r w:rsidR="0066162D">
        <w:rPr>
          <w:kern w:val="32"/>
        </w:rPr>
        <w:t xml:space="preserve">only </w:t>
      </w:r>
      <w:r w:rsidR="00755E99">
        <w:rPr>
          <w:kern w:val="32"/>
        </w:rPr>
        <w:t xml:space="preserve">once, while </w:t>
      </w:r>
      <w:r w:rsidR="0066162D" w:rsidRPr="00C071A4">
        <w:rPr>
          <w:kern w:val="32"/>
        </w:rPr>
        <w:t xml:space="preserve">a larger </w:t>
      </w:r>
      <w:r w:rsidR="0066162D">
        <w:rPr>
          <w:kern w:val="32"/>
        </w:rPr>
        <w:t>drill</w:t>
      </w:r>
      <w:r w:rsidR="0066162D" w:rsidRPr="00C071A4">
        <w:rPr>
          <w:kern w:val="32"/>
        </w:rPr>
        <w:t xml:space="preserve"> might use </w:t>
      </w:r>
      <w:r w:rsidR="00755E99">
        <w:rPr>
          <w:kern w:val="32"/>
        </w:rPr>
        <w:t xml:space="preserve">the full deck of Actor Cards </w:t>
      </w:r>
      <w:r w:rsidR="00906332">
        <w:rPr>
          <w:kern w:val="32"/>
        </w:rPr>
        <w:t xml:space="preserve">more than one time </w:t>
      </w:r>
      <w:r w:rsidR="0066162D" w:rsidRPr="00C071A4">
        <w:rPr>
          <w:kern w:val="32"/>
        </w:rPr>
        <w:t xml:space="preserve">to </w:t>
      </w:r>
      <w:r w:rsidR="00755E99">
        <w:rPr>
          <w:kern w:val="32"/>
        </w:rPr>
        <w:t xml:space="preserve">simulate a large number of people (perhaps several hundred) going </w:t>
      </w:r>
      <w:r w:rsidR="00906332">
        <w:rPr>
          <w:kern w:val="32"/>
        </w:rPr>
        <w:t xml:space="preserve">through the CRC. Also included in the Toolkit is a set of blank Actor Cards. </w:t>
      </w:r>
      <w:r w:rsidR="0066162D">
        <w:rPr>
          <w:kern w:val="32"/>
        </w:rPr>
        <w:t>Drill</w:t>
      </w:r>
      <w:r w:rsidR="0066162D" w:rsidRPr="00C071A4">
        <w:rPr>
          <w:kern w:val="32"/>
        </w:rPr>
        <w:t xml:space="preserve"> planners </w:t>
      </w:r>
      <w:r w:rsidR="0066162D">
        <w:rPr>
          <w:kern w:val="32"/>
        </w:rPr>
        <w:t xml:space="preserve">can </w:t>
      </w:r>
      <w:r w:rsidR="00906332">
        <w:rPr>
          <w:kern w:val="32"/>
        </w:rPr>
        <w:t xml:space="preserve">use these either to add to the total number of people going through the CRC </w:t>
      </w:r>
      <w:r w:rsidR="00055900">
        <w:rPr>
          <w:kern w:val="32"/>
        </w:rPr>
        <w:t xml:space="preserve">(indicating on the cards that Actors </w:t>
      </w:r>
      <w:r w:rsidR="00055900">
        <w:rPr>
          <w:kern w:val="32"/>
        </w:rPr>
        <w:lastRenderedPageBreak/>
        <w:t xml:space="preserve">should play themselves) </w:t>
      </w:r>
      <w:r w:rsidR="00906332">
        <w:rPr>
          <w:kern w:val="32"/>
        </w:rPr>
        <w:t>or to create new or additional types of simulated affected individuals.</w:t>
      </w:r>
      <w:r w:rsidR="00904A26">
        <w:rPr>
          <w:kern w:val="32"/>
        </w:rPr>
        <w:t xml:space="preserve"> The information in the Actor Card deck is also contained in the Actor Card Spreadsheet to aid the Drill Planning Team in reviewing the content of the cards. </w:t>
      </w:r>
    </w:p>
    <w:p w:rsidR="009B74CD" w:rsidRDefault="009B74CD" w:rsidP="00906332">
      <w:pPr>
        <w:rPr>
          <w:kern w:val="32"/>
        </w:rPr>
      </w:pPr>
    </w:p>
    <w:p w:rsidR="009B74CD" w:rsidRDefault="00244EED" w:rsidP="00906332">
      <w:pPr>
        <w:rPr>
          <w:kern w:val="32"/>
        </w:rPr>
      </w:pPr>
      <w:r w:rsidRPr="00244EED">
        <w:rPr>
          <w:b/>
          <w:kern w:val="32"/>
        </w:rPr>
        <w:t>Generic Cards</w:t>
      </w:r>
      <w:r w:rsidR="009B74CD">
        <w:rPr>
          <w:kern w:val="32"/>
        </w:rPr>
        <w:t>: Cards 1</w:t>
      </w:r>
      <w:r w:rsidR="009B74CD">
        <w:rPr>
          <w:rFonts w:ascii="Calibri" w:hAnsi="Calibri"/>
          <w:kern w:val="32"/>
        </w:rPr>
        <w:t>–</w:t>
      </w:r>
      <w:r w:rsidR="009B74CD">
        <w:rPr>
          <w:kern w:val="32"/>
        </w:rPr>
        <w:t>16 are “generic” cards that direct the answers to simply play themselves, without any special needs or situations. Planners should choose the ratio of generic cards to cards for special/vulnerable populations (see below) based on their goals for the drill and reproduce the generic cards if more are ne</w:t>
      </w:r>
      <w:r w:rsidR="000E0B27">
        <w:rPr>
          <w:kern w:val="32"/>
        </w:rPr>
        <w:t>e</w:t>
      </w:r>
      <w:r w:rsidR="009B74CD">
        <w:rPr>
          <w:kern w:val="32"/>
        </w:rPr>
        <w:t>ded.</w:t>
      </w:r>
    </w:p>
    <w:p w:rsidR="0066162D" w:rsidRDefault="00F26C0A" w:rsidP="0066162D">
      <w:pPr>
        <w:pStyle w:val="AppendixHeading"/>
        <w:jc w:val="left"/>
        <w:rPr>
          <w:rFonts w:ascii="Times New Roman" w:hAnsi="Times New Roman" w:cs="Times New Roman"/>
          <w:b w:val="0"/>
          <w:smallCaps w:val="0"/>
          <w:color w:val="000000" w:themeColor="text1"/>
          <w:sz w:val="24"/>
          <w:szCs w:val="24"/>
        </w:rPr>
      </w:pPr>
      <w:r w:rsidRPr="00F26C0A">
        <w:rPr>
          <w:rFonts w:ascii="Times New Roman" w:hAnsi="Times New Roman" w:cs="Times New Roman"/>
          <w:smallCaps w:val="0"/>
          <w:color w:val="000000" w:themeColor="text1"/>
          <w:sz w:val="24"/>
          <w:szCs w:val="24"/>
        </w:rPr>
        <w:t>Special/Vulnerable Populations</w:t>
      </w:r>
      <w:r>
        <w:rPr>
          <w:rFonts w:ascii="Times New Roman" w:hAnsi="Times New Roman" w:cs="Times New Roman"/>
          <w:b w:val="0"/>
          <w:smallCaps w:val="0"/>
          <w:color w:val="000000" w:themeColor="text1"/>
          <w:sz w:val="24"/>
          <w:szCs w:val="24"/>
        </w:rPr>
        <w:t xml:space="preserve">: </w:t>
      </w:r>
      <w:r w:rsidR="0066162D" w:rsidRPr="00C54B02">
        <w:rPr>
          <w:rFonts w:ascii="Times New Roman" w:hAnsi="Times New Roman" w:cs="Times New Roman"/>
          <w:b w:val="0"/>
          <w:smallCaps w:val="0"/>
          <w:color w:val="000000" w:themeColor="text1"/>
          <w:sz w:val="24"/>
          <w:szCs w:val="24"/>
        </w:rPr>
        <w:t xml:space="preserve">To practice recognizing and meeting the needs of </w:t>
      </w:r>
      <w:r w:rsidR="0066162D" w:rsidRPr="00F26C0A">
        <w:rPr>
          <w:rFonts w:ascii="Times New Roman" w:hAnsi="Times New Roman" w:cs="Times New Roman"/>
          <w:b w:val="0"/>
          <w:smallCaps w:val="0"/>
          <w:color w:val="000000" w:themeColor="text1"/>
          <w:sz w:val="24"/>
          <w:szCs w:val="24"/>
        </w:rPr>
        <w:t>special</w:t>
      </w:r>
      <w:r w:rsidR="008361A2" w:rsidRPr="00F26C0A">
        <w:rPr>
          <w:rFonts w:ascii="Times New Roman" w:hAnsi="Times New Roman" w:cs="Times New Roman"/>
          <w:b w:val="0"/>
          <w:smallCaps w:val="0"/>
          <w:color w:val="000000" w:themeColor="text1"/>
          <w:sz w:val="24"/>
          <w:szCs w:val="24"/>
        </w:rPr>
        <w:t>/vulnerable</w:t>
      </w:r>
      <w:r w:rsidR="0066162D" w:rsidRPr="00F26C0A">
        <w:rPr>
          <w:rFonts w:ascii="Times New Roman" w:hAnsi="Times New Roman" w:cs="Times New Roman"/>
          <w:b w:val="0"/>
          <w:smallCaps w:val="0"/>
          <w:color w:val="000000" w:themeColor="text1"/>
          <w:sz w:val="24"/>
          <w:szCs w:val="24"/>
        </w:rPr>
        <w:t xml:space="preserve"> populations</w:t>
      </w:r>
      <w:r w:rsidR="0066162D" w:rsidRPr="00C54B02">
        <w:rPr>
          <w:rFonts w:ascii="Times New Roman" w:hAnsi="Times New Roman" w:cs="Times New Roman"/>
          <w:b w:val="0"/>
          <w:smallCaps w:val="0"/>
          <w:color w:val="000000" w:themeColor="text1"/>
          <w:sz w:val="24"/>
          <w:szCs w:val="24"/>
        </w:rPr>
        <w:t xml:space="preserve">, the Toolkit includes </w:t>
      </w:r>
      <w:r w:rsidR="00755E99">
        <w:rPr>
          <w:rFonts w:ascii="Times New Roman" w:hAnsi="Times New Roman" w:cs="Times New Roman"/>
          <w:b w:val="0"/>
          <w:smallCaps w:val="0"/>
          <w:color w:val="000000" w:themeColor="text1"/>
          <w:sz w:val="24"/>
          <w:szCs w:val="24"/>
        </w:rPr>
        <w:t xml:space="preserve">not only a substantial number of generic Actor Cards but also </w:t>
      </w:r>
      <w:r w:rsidR="0066162D" w:rsidRPr="00C54B02">
        <w:rPr>
          <w:rFonts w:ascii="Times New Roman" w:hAnsi="Times New Roman" w:cs="Times New Roman"/>
          <w:b w:val="0"/>
          <w:smallCaps w:val="0"/>
          <w:color w:val="000000" w:themeColor="text1"/>
          <w:sz w:val="24"/>
          <w:szCs w:val="24"/>
        </w:rPr>
        <w:t xml:space="preserve">a </w:t>
      </w:r>
      <w:r w:rsidR="00755E99">
        <w:rPr>
          <w:rFonts w:ascii="Times New Roman" w:hAnsi="Times New Roman" w:cs="Times New Roman"/>
          <w:b w:val="0"/>
          <w:smallCaps w:val="0"/>
          <w:color w:val="000000" w:themeColor="text1"/>
          <w:sz w:val="24"/>
          <w:szCs w:val="24"/>
        </w:rPr>
        <w:t xml:space="preserve">wide </w:t>
      </w:r>
      <w:r w:rsidR="0066162D" w:rsidRPr="00C54B02">
        <w:rPr>
          <w:rFonts w:ascii="Times New Roman" w:hAnsi="Times New Roman" w:cs="Times New Roman"/>
          <w:b w:val="0"/>
          <w:smallCaps w:val="0"/>
          <w:color w:val="000000" w:themeColor="text1"/>
          <w:sz w:val="24"/>
          <w:szCs w:val="24"/>
        </w:rPr>
        <w:t xml:space="preserve">variety of </w:t>
      </w:r>
      <w:r w:rsidR="0066162D">
        <w:rPr>
          <w:rFonts w:ascii="Times New Roman" w:hAnsi="Times New Roman" w:cs="Times New Roman"/>
          <w:b w:val="0"/>
          <w:smallCaps w:val="0"/>
          <w:color w:val="000000" w:themeColor="text1"/>
          <w:sz w:val="24"/>
          <w:szCs w:val="24"/>
        </w:rPr>
        <w:t xml:space="preserve">Actor cards simulating </w:t>
      </w:r>
      <w:r w:rsidR="0066162D" w:rsidRPr="00C54B02">
        <w:rPr>
          <w:rFonts w:ascii="Times New Roman" w:hAnsi="Times New Roman" w:cs="Times New Roman"/>
          <w:b w:val="0"/>
          <w:smallCaps w:val="0"/>
          <w:color w:val="000000" w:themeColor="text1"/>
          <w:sz w:val="24"/>
          <w:szCs w:val="24"/>
        </w:rPr>
        <w:t>specia</w:t>
      </w:r>
      <w:r w:rsidR="0066162D">
        <w:rPr>
          <w:rFonts w:ascii="Times New Roman" w:hAnsi="Times New Roman" w:cs="Times New Roman"/>
          <w:b w:val="0"/>
          <w:smallCaps w:val="0"/>
          <w:color w:val="000000" w:themeColor="text1"/>
          <w:sz w:val="24"/>
          <w:szCs w:val="24"/>
        </w:rPr>
        <w:t xml:space="preserve">l/vulnerable </w:t>
      </w:r>
      <w:r w:rsidR="0066162D" w:rsidRPr="00C54B02">
        <w:rPr>
          <w:rFonts w:ascii="Times New Roman" w:hAnsi="Times New Roman" w:cs="Times New Roman"/>
          <w:b w:val="0"/>
          <w:smallCaps w:val="0"/>
          <w:color w:val="000000" w:themeColor="text1"/>
          <w:sz w:val="24"/>
          <w:szCs w:val="24"/>
        </w:rPr>
        <w:t>population</w:t>
      </w:r>
      <w:r w:rsidR="0066162D">
        <w:rPr>
          <w:rFonts w:ascii="Times New Roman" w:hAnsi="Times New Roman" w:cs="Times New Roman"/>
          <w:b w:val="0"/>
          <w:smallCaps w:val="0"/>
          <w:color w:val="000000" w:themeColor="text1"/>
          <w:sz w:val="24"/>
          <w:szCs w:val="24"/>
        </w:rPr>
        <w:t>s</w:t>
      </w:r>
      <w:r w:rsidR="0066162D" w:rsidRPr="00C54B02">
        <w:rPr>
          <w:rFonts w:ascii="Times New Roman" w:hAnsi="Times New Roman" w:cs="Times New Roman"/>
          <w:b w:val="0"/>
          <w:smallCaps w:val="0"/>
          <w:color w:val="000000" w:themeColor="text1"/>
          <w:sz w:val="24"/>
          <w:szCs w:val="24"/>
        </w:rPr>
        <w:t>. These include children (who make up about 25% of the U</w:t>
      </w:r>
      <w:r w:rsidR="00055900">
        <w:rPr>
          <w:rFonts w:ascii="Times New Roman" w:hAnsi="Times New Roman" w:cs="Times New Roman"/>
          <w:b w:val="0"/>
          <w:smallCaps w:val="0"/>
          <w:color w:val="000000" w:themeColor="text1"/>
          <w:sz w:val="24"/>
          <w:szCs w:val="24"/>
        </w:rPr>
        <w:t>.</w:t>
      </w:r>
      <w:r w:rsidR="0066162D" w:rsidRPr="00C54B02">
        <w:rPr>
          <w:rFonts w:ascii="Times New Roman" w:hAnsi="Times New Roman" w:cs="Times New Roman"/>
          <w:b w:val="0"/>
          <w:smallCaps w:val="0"/>
          <w:color w:val="000000" w:themeColor="text1"/>
          <w:sz w:val="24"/>
          <w:szCs w:val="24"/>
        </w:rPr>
        <w:t>S</w:t>
      </w:r>
      <w:r w:rsidR="00055900">
        <w:rPr>
          <w:rFonts w:ascii="Times New Roman" w:hAnsi="Times New Roman" w:cs="Times New Roman"/>
          <w:b w:val="0"/>
          <w:smallCaps w:val="0"/>
          <w:color w:val="000000" w:themeColor="text1"/>
          <w:sz w:val="24"/>
          <w:szCs w:val="24"/>
        </w:rPr>
        <w:t>.</w:t>
      </w:r>
      <w:r w:rsidR="0066162D" w:rsidRPr="00C54B02">
        <w:rPr>
          <w:rFonts w:ascii="Times New Roman" w:hAnsi="Times New Roman" w:cs="Times New Roman"/>
          <w:b w:val="0"/>
          <w:smallCaps w:val="0"/>
          <w:color w:val="000000" w:themeColor="text1"/>
          <w:sz w:val="24"/>
          <w:szCs w:val="24"/>
        </w:rPr>
        <w:t xml:space="preserve"> population)</w:t>
      </w:r>
      <w:r w:rsidR="00055900">
        <w:rPr>
          <w:rFonts w:ascii="Times New Roman" w:hAnsi="Times New Roman" w:cs="Times New Roman"/>
          <w:b w:val="0"/>
          <w:smallCaps w:val="0"/>
          <w:color w:val="000000" w:themeColor="text1"/>
          <w:sz w:val="24"/>
          <w:szCs w:val="24"/>
        </w:rPr>
        <w:t>;</w:t>
      </w:r>
      <w:r w:rsidR="0066162D" w:rsidRPr="00C54B02">
        <w:rPr>
          <w:rFonts w:ascii="Times New Roman" w:hAnsi="Times New Roman" w:cs="Times New Roman"/>
          <w:b w:val="0"/>
          <w:smallCaps w:val="0"/>
          <w:color w:val="000000" w:themeColor="text1"/>
          <w:sz w:val="24"/>
          <w:szCs w:val="24"/>
        </w:rPr>
        <w:t xml:space="preserve"> people with disabilities (who make up about 20% of the </w:t>
      </w:r>
      <w:r w:rsidR="00055900">
        <w:rPr>
          <w:rFonts w:ascii="Times New Roman" w:hAnsi="Times New Roman" w:cs="Times New Roman"/>
          <w:b w:val="0"/>
          <w:smallCaps w:val="0"/>
          <w:color w:val="000000" w:themeColor="text1"/>
          <w:sz w:val="24"/>
          <w:szCs w:val="24"/>
        </w:rPr>
        <w:t xml:space="preserve">U.S. </w:t>
      </w:r>
      <w:r w:rsidR="0066162D" w:rsidRPr="00C54B02">
        <w:rPr>
          <w:rFonts w:ascii="Times New Roman" w:hAnsi="Times New Roman" w:cs="Times New Roman"/>
          <w:b w:val="0"/>
          <w:smallCaps w:val="0"/>
          <w:color w:val="000000" w:themeColor="text1"/>
          <w:sz w:val="24"/>
          <w:szCs w:val="24"/>
        </w:rPr>
        <w:t>population)</w:t>
      </w:r>
      <w:r w:rsidR="00055900">
        <w:rPr>
          <w:rFonts w:ascii="Times New Roman" w:hAnsi="Times New Roman" w:cs="Times New Roman"/>
          <w:b w:val="0"/>
          <w:smallCaps w:val="0"/>
          <w:color w:val="000000" w:themeColor="text1"/>
          <w:sz w:val="24"/>
          <w:szCs w:val="24"/>
        </w:rPr>
        <w:t>;</w:t>
      </w:r>
      <w:r w:rsidR="0066162D" w:rsidRPr="00C54B02">
        <w:rPr>
          <w:rFonts w:ascii="Times New Roman" w:hAnsi="Times New Roman" w:cs="Times New Roman"/>
          <w:b w:val="0"/>
          <w:smallCaps w:val="0"/>
          <w:color w:val="000000" w:themeColor="text1"/>
          <w:sz w:val="24"/>
          <w:szCs w:val="24"/>
        </w:rPr>
        <w:t xml:space="preserve"> senior citizens</w:t>
      </w:r>
      <w:r w:rsidR="00055900">
        <w:rPr>
          <w:rFonts w:ascii="Times New Roman" w:hAnsi="Times New Roman" w:cs="Times New Roman"/>
          <w:b w:val="0"/>
          <w:smallCaps w:val="0"/>
          <w:color w:val="000000" w:themeColor="text1"/>
          <w:sz w:val="24"/>
          <w:szCs w:val="24"/>
        </w:rPr>
        <w:t>;</w:t>
      </w:r>
      <w:r w:rsidR="0066162D">
        <w:rPr>
          <w:rFonts w:ascii="Times New Roman" w:hAnsi="Times New Roman" w:cs="Times New Roman"/>
          <w:b w:val="0"/>
          <w:smallCaps w:val="0"/>
          <w:color w:val="000000" w:themeColor="text1"/>
          <w:sz w:val="24"/>
          <w:szCs w:val="24"/>
        </w:rPr>
        <w:t xml:space="preserve"> </w:t>
      </w:r>
      <w:r w:rsidR="00192034">
        <w:rPr>
          <w:rFonts w:ascii="Times New Roman" w:hAnsi="Times New Roman" w:cs="Times New Roman"/>
          <w:b w:val="0"/>
          <w:smallCaps w:val="0"/>
          <w:color w:val="000000" w:themeColor="text1"/>
          <w:sz w:val="24"/>
          <w:szCs w:val="24"/>
        </w:rPr>
        <w:t xml:space="preserve">individuals </w:t>
      </w:r>
      <w:r w:rsidR="0066162D" w:rsidRPr="00C54B02">
        <w:rPr>
          <w:rFonts w:ascii="Times New Roman" w:hAnsi="Times New Roman" w:cs="Times New Roman"/>
          <w:b w:val="0"/>
          <w:smallCaps w:val="0"/>
          <w:color w:val="000000" w:themeColor="text1"/>
          <w:sz w:val="24"/>
          <w:szCs w:val="24"/>
        </w:rPr>
        <w:t>with medical or mental health issues</w:t>
      </w:r>
      <w:r w:rsidR="00055900">
        <w:rPr>
          <w:rFonts w:ascii="Times New Roman" w:hAnsi="Times New Roman" w:cs="Times New Roman"/>
          <w:b w:val="0"/>
          <w:smallCaps w:val="0"/>
          <w:color w:val="000000" w:themeColor="text1"/>
          <w:sz w:val="24"/>
          <w:szCs w:val="24"/>
        </w:rPr>
        <w:t>;</w:t>
      </w:r>
      <w:r w:rsidR="0066162D" w:rsidRPr="00C54B02">
        <w:rPr>
          <w:rFonts w:ascii="Times New Roman" w:hAnsi="Times New Roman" w:cs="Times New Roman"/>
          <w:b w:val="0"/>
          <w:smallCaps w:val="0"/>
          <w:color w:val="000000" w:themeColor="text1"/>
          <w:sz w:val="24"/>
          <w:szCs w:val="24"/>
        </w:rPr>
        <w:t xml:space="preserve"> </w:t>
      </w:r>
      <w:r w:rsidR="0066162D">
        <w:rPr>
          <w:rFonts w:ascii="Times New Roman" w:hAnsi="Times New Roman" w:cs="Times New Roman"/>
          <w:b w:val="0"/>
          <w:smallCaps w:val="0"/>
          <w:color w:val="000000" w:themeColor="text1"/>
          <w:sz w:val="24"/>
          <w:szCs w:val="24"/>
        </w:rPr>
        <w:t xml:space="preserve">and </w:t>
      </w:r>
      <w:r w:rsidR="0066162D" w:rsidRPr="00C54B02">
        <w:rPr>
          <w:rFonts w:ascii="Times New Roman" w:hAnsi="Times New Roman" w:cs="Times New Roman"/>
          <w:b w:val="0"/>
          <w:smallCaps w:val="0"/>
          <w:color w:val="000000" w:themeColor="text1"/>
          <w:sz w:val="24"/>
          <w:szCs w:val="24"/>
        </w:rPr>
        <w:t>individuals who are pregnant, breastfeedin</w:t>
      </w:r>
      <w:r w:rsidR="0066162D">
        <w:rPr>
          <w:rFonts w:ascii="Times New Roman" w:hAnsi="Times New Roman" w:cs="Times New Roman"/>
          <w:b w:val="0"/>
          <w:smallCaps w:val="0"/>
          <w:color w:val="000000" w:themeColor="text1"/>
          <w:sz w:val="24"/>
          <w:szCs w:val="24"/>
        </w:rPr>
        <w:t>g</w:t>
      </w:r>
      <w:r w:rsidR="00055900">
        <w:rPr>
          <w:rFonts w:ascii="Times New Roman" w:hAnsi="Times New Roman" w:cs="Times New Roman"/>
          <w:b w:val="0"/>
          <w:smallCaps w:val="0"/>
          <w:color w:val="000000" w:themeColor="text1"/>
          <w:sz w:val="24"/>
          <w:szCs w:val="24"/>
        </w:rPr>
        <w:t>,</w:t>
      </w:r>
      <w:r w:rsidR="0066162D">
        <w:rPr>
          <w:rFonts w:ascii="Times New Roman" w:hAnsi="Times New Roman" w:cs="Times New Roman"/>
          <w:b w:val="0"/>
          <w:smallCaps w:val="0"/>
          <w:color w:val="000000" w:themeColor="text1"/>
          <w:sz w:val="24"/>
          <w:szCs w:val="24"/>
        </w:rPr>
        <w:t xml:space="preserve"> or have reproductive concerns. Also represented in the specia</w:t>
      </w:r>
      <w:r w:rsidR="00192034">
        <w:rPr>
          <w:rFonts w:ascii="Times New Roman" w:hAnsi="Times New Roman" w:cs="Times New Roman"/>
          <w:b w:val="0"/>
          <w:smallCaps w:val="0"/>
          <w:color w:val="000000" w:themeColor="text1"/>
          <w:sz w:val="24"/>
          <w:szCs w:val="24"/>
        </w:rPr>
        <w:t>l/vulnerable</w:t>
      </w:r>
      <w:r w:rsidR="0066162D">
        <w:rPr>
          <w:rFonts w:ascii="Times New Roman" w:hAnsi="Times New Roman" w:cs="Times New Roman"/>
          <w:b w:val="0"/>
          <w:smallCaps w:val="0"/>
          <w:color w:val="000000" w:themeColor="text1"/>
          <w:sz w:val="24"/>
          <w:szCs w:val="24"/>
        </w:rPr>
        <w:t xml:space="preserve"> population cards are non-English speakers, people with pets, and other groups that might have special needs or concerns.</w:t>
      </w:r>
      <w:r w:rsidR="00D80B10">
        <w:rPr>
          <w:rFonts w:ascii="Times New Roman" w:hAnsi="Times New Roman" w:cs="Times New Roman"/>
          <w:b w:val="0"/>
          <w:smallCaps w:val="0"/>
          <w:color w:val="000000" w:themeColor="text1"/>
          <w:sz w:val="24"/>
          <w:szCs w:val="24"/>
        </w:rPr>
        <w:t xml:space="preserve"> </w:t>
      </w:r>
    </w:p>
    <w:p w:rsidR="008361A2" w:rsidRDefault="008361A2" w:rsidP="008361A2">
      <w:r>
        <w:t>To facilitate the process of including a wide variety of people, issues</w:t>
      </w:r>
      <w:r w:rsidR="00D86321">
        <w:t>,</w:t>
      </w:r>
      <w:r>
        <w:t xml:space="preserve"> and challenges in the drill, the 1</w:t>
      </w:r>
      <w:r w:rsidR="00795CD2">
        <w:t>05</w:t>
      </w:r>
      <w:r>
        <w:t xml:space="preserve"> Actor Cards are organized as follows:</w:t>
      </w:r>
    </w:p>
    <w:p w:rsidR="008361A2" w:rsidRDefault="008361A2" w:rsidP="008361A2"/>
    <w:p w:rsidR="008361A2" w:rsidRDefault="008361A2" w:rsidP="008361A2">
      <w:r w:rsidRPr="008361A2">
        <w:rPr>
          <w:u w:val="single"/>
        </w:rPr>
        <w:t>Card Numbers</w:t>
      </w:r>
      <w:r>
        <w:tab/>
      </w:r>
      <w:r>
        <w:tab/>
      </w:r>
      <w:r w:rsidRPr="008361A2">
        <w:rPr>
          <w:u w:val="single"/>
        </w:rPr>
        <w:t>Description</w:t>
      </w:r>
    </w:p>
    <w:p w:rsidR="008361A2" w:rsidRDefault="008361A2" w:rsidP="008361A2">
      <w:r>
        <w:t>1</w:t>
      </w:r>
      <w:r w:rsidR="00055900">
        <w:rPr>
          <w:rFonts w:ascii="Calibri" w:hAnsi="Calibri"/>
        </w:rPr>
        <w:t>–</w:t>
      </w:r>
      <w:r>
        <w:t>2</w:t>
      </w:r>
      <w:r w:rsidR="00157B4E">
        <w:t>0</w:t>
      </w:r>
      <w:r>
        <w:tab/>
      </w:r>
      <w:r>
        <w:tab/>
      </w:r>
      <w:r>
        <w:tab/>
      </w:r>
      <w:r w:rsidR="00055900">
        <w:t>G</w:t>
      </w:r>
      <w:r>
        <w:t>eneral</w:t>
      </w:r>
    </w:p>
    <w:p w:rsidR="008361A2" w:rsidRDefault="008361A2" w:rsidP="008361A2">
      <w:r>
        <w:t>2</w:t>
      </w:r>
      <w:r w:rsidR="00157B4E">
        <w:t>1</w:t>
      </w:r>
      <w:r w:rsidR="00055900">
        <w:rPr>
          <w:rFonts w:ascii="Calibri" w:hAnsi="Calibri"/>
        </w:rPr>
        <w:t>–</w:t>
      </w:r>
      <w:r w:rsidR="00157B4E">
        <w:t>29</w:t>
      </w:r>
      <w:r>
        <w:tab/>
      </w:r>
      <w:r>
        <w:tab/>
      </w:r>
      <w:r>
        <w:tab/>
        <w:t>Medical/First Aid Issues</w:t>
      </w:r>
    </w:p>
    <w:p w:rsidR="008361A2" w:rsidRDefault="008361A2" w:rsidP="008361A2">
      <w:r>
        <w:t>3</w:t>
      </w:r>
      <w:r w:rsidR="00157B4E">
        <w:t>0</w:t>
      </w:r>
      <w:r w:rsidR="00055900">
        <w:rPr>
          <w:rFonts w:ascii="Calibri" w:hAnsi="Calibri"/>
        </w:rPr>
        <w:t>–</w:t>
      </w:r>
      <w:r w:rsidR="00157B4E">
        <w:t>37</w:t>
      </w:r>
      <w:r>
        <w:tab/>
      </w:r>
      <w:r>
        <w:tab/>
      </w:r>
      <w:r>
        <w:tab/>
        <w:t>Medical Rad</w:t>
      </w:r>
      <w:r w:rsidR="00D86321">
        <w:t>iological</w:t>
      </w:r>
      <w:r>
        <w:t xml:space="preserve"> Issues</w:t>
      </w:r>
    </w:p>
    <w:p w:rsidR="008361A2" w:rsidRDefault="00157B4E" w:rsidP="008361A2">
      <w:r>
        <w:t>38</w:t>
      </w:r>
      <w:r w:rsidR="00055900">
        <w:rPr>
          <w:rFonts w:ascii="Calibri" w:hAnsi="Calibri"/>
        </w:rPr>
        <w:t>–</w:t>
      </w:r>
      <w:r>
        <w:t>48</w:t>
      </w:r>
      <w:r w:rsidR="008361A2">
        <w:tab/>
      </w:r>
      <w:r w:rsidR="008361A2">
        <w:tab/>
      </w:r>
      <w:r w:rsidR="008361A2">
        <w:tab/>
      </w:r>
      <w:r w:rsidR="008361A2" w:rsidRPr="008361A2">
        <w:t>Access and Functional Needs/Disabilities</w:t>
      </w:r>
    </w:p>
    <w:p w:rsidR="00DF7C39" w:rsidRDefault="00157B4E" w:rsidP="008361A2">
      <w:r>
        <w:t>49</w:t>
      </w:r>
      <w:r w:rsidR="00055900">
        <w:rPr>
          <w:rFonts w:ascii="Calibri" w:hAnsi="Calibri"/>
        </w:rPr>
        <w:t>–</w:t>
      </w:r>
      <w:r>
        <w:t>55</w:t>
      </w:r>
      <w:r w:rsidR="00DF7C39">
        <w:tab/>
      </w:r>
      <w:r w:rsidR="00DF7C39">
        <w:tab/>
      </w:r>
      <w:r w:rsidR="00DF7C39">
        <w:tab/>
        <w:t>Child</w:t>
      </w:r>
    </w:p>
    <w:p w:rsidR="00DF7C39" w:rsidRDefault="00157B4E" w:rsidP="008361A2">
      <w:r>
        <w:t>56</w:t>
      </w:r>
      <w:r w:rsidR="00055900">
        <w:rPr>
          <w:rFonts w:ascii="Calibri" w:hAnsi="Calibri"/>
        </w:rPr>
        <w:t>–</w:t>
      </w:r>
      <w:r>
        <w:t>64</w:t>
      </w:r>
      <w:r w:rsidR="00DF7C39">
        <w:tab/>
      </w:r>
      <w:r w:rsidR="00DF7C39">
        <w:tab/>
      </w:r>
      <w:r w:rsidR="00DF7C39">
        <w:tab/>
        <w:t>Senior</w:t>
      </w:r>
    </w:p>
    <w:p w:rsidR="00DF7C39" w:rsidRDefault="00157B4E" w:rsidP="008361A2">
      <w:r>
        <w:t>65</w:t>
      </w:r>
      <w:r w:rsidR="00055900">
        <w:rPr>
          <w:rFonts w:ascii="Calibri" w:hAnsi="Calibri"/>
        </w:rPr>
        <w:t>–</w:t>
      </w:r>
      <w:r>
        <w:t>71</w:t>
      </w:r>
      <w:r w:rsidR="00DF7C39">
        <w:tab/>
      </w:r>
      <w:r w:rsidR="00DF7C39">
        <w:tab/>
      </w:r>
      <w:r w:rsidR="00DF7C39">
        <w:tab/>
        <w:t>Pregnant/Breastfeeding/Reproductive Issues</w:t>
      </w:r>
    </w:p>
    <w:p w:rsidR="00DF7C39" w:rsidRDefault="00DF7C39" w:rsidP="008361A2">
      <w:r>
        <w:t>7</w:t>
      </w:r>
      <w:r w:rsidR="00157B4E">
        <w:t>2</w:t>
      </w:r>
      <w:r w:rsidR="00055900">
        <w:rPr>
          <w:rFonts w:ascii="Calibri" w:hAnsi="Calibri"/>
        </w:rPr>
        <w:t>–</w:t>
      </w:r>
      <w:r w:rsidR="00157B4E">
        <w:t>75</w:t>
      </w:r>
      <w:r>
        <w:tab/>
      </w:r>
      <w:r>
        <w:tab/>
      </w:r>
      <w:r>
        <w:tab/>
        <w:t>Language/Literacy Issues</w:t>
      </w:r>
    </w:p>
    <w:p w:rsidR="00DF7C39" w:rsidRDefault="00157B4E" w:rsidP="008361A2">
      <w:r>
        <w:t>76</w:t>
      </w:r>
      <w:r w:rsidR="00055900">
        <w:rPr>
          <w:rFonts w:ascii="Calibri" w:hAnsi="Calibri"/>
        </w:rPr>
        <w:t>–</w:t>
      </w:r>
      <w:r>
        <w:t>84</w:t>
      </w:r>
      <w:r w:rsidR="00DF7C39">
        <w:tab/>
      </w:r>
      <w:r w:rsidR="00DF7C39">
        <w:tab/>
      </w:r>
      <w:r w:rsidR="00DF7C39">
        <w:tab/>
        <w:t>Psychosocial Issues</w:t>
      </w:r>
    </w:p>
    <w:p w:rsidR="00DF7C39" w:rsidRDefault="00157B4E" w:rsidP="008361A2">
      <w:r>
        <w:t>85</w:t>
      </w:r>
      <w:r w:rsidR="00055900">
        <w:rPr>
          <w:rFonts w:ascii="Calibri" w:hAnsi="Calibri"/>
        </w:rPr>
        <w:t>–</w:t>
      </w:r>
      <w:r>
        <w:t>90</w:t>
      </w:r>
      <w:r w:rsidR="00DF7C39">
        <w:tab/>
      </w:r>
      <w:r w:rsidR="00DF7C39">
        <w:tab/>
      </w:r>
      <w:r w:rsidR="00DF7C39">
        <w:tab/>
        <w:t>Pet-related Issues</w:t>
      </w:r>
    </w:p>
    <w:p w:rsidR="00DF7C39" w:rsidRDefault="00DF7C39" w:rsidP="008361A2">
      <w:r>
        <w:t>9</w:t>
      </w:r>
      <w:r w:rsidR="00157B4E">
        <w:t>1</w:t>
      </w:r>
      <w:r w:rsidR="00055900">
        <w:rPr>
          <w:rFonts w:ascii="Calibri" w:hAnsi="Calibri"/>
        </w:rPr>
        <w:t>–</w:t>
      </w:r>
      <w:r w:rsidR="00157B4E">
        <w:t>96</w:t>
      </w:r>
      <w:r>
        <w:tab/>
      </w:r>
      <w:r>
        <w:tab/>
      </w:r>
      <w:r>
        <w:tab/>
        <w:t>Information Needs</w:t>
      </w:r>
    </w:p>
    <w:p w:rsidR="00DF7C39" w:rsidRDefault="00157B4E" w:rsidP="008361A2">
      <w:r>
        <w:t>97</w:t>
      </w:r>
      <w:r w:rsidR="00055900">
        <w:rPr>
          <w:rFonts w:ascii="Calibri" w:hAnsi="Calibri"/>
        </w:rPr>
        <w:t>–</w:t>
      </w:r>
      <w:r>
        <w:t>98</w:t>
      </w:r>
      <w:r w:rsidR="00DF7C39">
        <w:tab/>
      </w:r>
      <w:r w:rsidR="00DF7C39">
        <w:tab/>
      </w:r>
      <w:r w:rsidR="00DF7C39">
        <w:tab/>
        <w:t>CRC Operations Issue</w:t>
      </w:r>
    </w:p>
    <w:p w:rsidR="00DF7C39" w:rsidRDefault="00157B4E" w:rsidP="008361A2">
      <w:r>
        <w:t>99</w:t>
      </w:r>
      <w:r w:rsidR="00055900">
        <w:rPr>
          <w:rFonts w:ascii="Calibri" w:hAnsi="Calibri"/>
        </w:rPr>
        <w:t>–</w:t>
      </w:r>
      <w:r>
        <w:t>102</w:t>
      </w:r>
      <w:r w:rsidR="00DF7C39">
        <w:tab/>
      </w:r>
      <w:r w:rsidR="00DF7C39">
        <w:tab/>
      </w:r>
      <w:r w:rsidR="00DF7C39">
        <w:tab/>
        <w:t>CRC Security Issue</w:t>
      </w:r>
    </w:p>
    <w:p w:rsidR="00DF7C39" w:rsidRDefault="00DF7C39" w:rsidP="008361A2">
      <w:r>
        <w:t>10</w:t>
      </w:r>
      <w:r w:rsidR="00157B4E">
        <w:t>3</w:t>
      </w:r>
      <w:r w:rsidR="00055900">
        <w:rPr>
          <w:rFonts w:ascii="Calibri" w:hAnsi="Calibri"/>
        </w:rPr>
        <w:t>–</w:t>
      </w:r>
      <w:r>
        <w:t>1</w:t>
      </w:r>
      <w:r w:rsidR="00157B4E">
        <w:t>05</w:t>
      </w:r>
      <w:r>
        <w:tab/>
      </w:r>
      <w:r>
        <w:tab/>
        <w:t>CRC Staff Problem/Concern</w:t>
      </w:r>
    </w:p>
    <w:p w:rsidR="008361A2" w:rsidRPr="00CF1972" w:rsidRDefault="00DF7C39" w:rsidP="008361A2">
      <w:pPr>
        <w:pStyle w:val="AppendixHeading"/>
        <w:jc w:val="left"/>
        <w:rPr>
          <w:rFonts w:ascii="Times New Roman" w:hAnsi="Times New Roman" w:cs="Times New Roman"/>
          <w:b w:val="0"/>
          <w:i/>
          <w:smallCaps w:val="0"/>
          <w:color w:val="000000" w:themeColor="text1"/>
          <w:sz w:val="24"/>
          <w:szCs w:val="24"/>
        </w:rPr>
      </w:pPr>
      <w:r w:rsidRPr="00192034">
        <w:rPr>
          <w:rFonts w:ascii="Times New Roman" w:hAnsi="Times New Roman" w:cs="Times New Roman"/>
          <w:b w:val="0"/>
          <w:smallCaps w:val="0"/>
          <w:color w:val="000000" w:themeColor="text1"/>
          <w:sz w:val="24"/>
          <w:szCs w:val="24"/>
          <w:u w:val="single"/>
        </w:rPr>
        <w:t>Note</w:t>
      </w:r>
      <w:r>
        <w:rPr>
          <w:rFonts w:ascii="Times New Roman" w:hAnsi="Times New Roman" w:cs="Times New Roman"/>
          <w:b w:val="0"/>
          <w:smallCaps w:val="0"/>
          <w:color w:val="000000" w:themeColor="text1"/>
          <w:sz w:val="24"/>
          <w:szCs w:val="24"/>
        </w:rPr>
        <w:t xml:space="preserve">: </w:t>
      </w:r>
      <w:r w:rsidR="008361A2" w:rsidRPr="00CF1972">
        <w:rPr>
          <w:rFonts w:ascii="Times New Roman" w:hAnsi="Times New Roman" w:cs="Times New Roman"/>
          <w:b w:val="0"/>
          <w:i/>
          <w:smallCaps w:val="0"/>
          <w:color w:val="000000" w:themeColor="text1"/>
          <w:sz w:val="24"/>
          <w:szCs w:val="24"/>
        </w:rPr>
        <w:t xml:space="preserve">To ensure that a drill is realistic, drill planners should be sure to include </w:t>
      </w:r>
      <w:r w:rsidRPr="00CF1972">
        <w:rPr>
          <w:rFonts w:ascii="Times New Roman" w:hAnsi="Times New Roman" w:cs="Times New Roman"/>
          <w:b w:val="0"/>
          <w:i/>
          <w:smallCaps w:val="0"/>
          <w:color w:val="000000" w:themeColor="text1"/>
          <w:sz w:val="24"/>
          <w:szCs w:val="24"/>
        </w:rPr>
        <w:t xml:space="preserve">Actor Cards from </w:t>
      </w:r>
      <w:r w:rsidRPr="00055900">
        <w:rPr>
          <w:rFonts w:ascii="Times New Roman" w:hAnsi="Times New Roman" w:cs="Times New Roman"/>
          <w:i/>
          <w:smallCaps w:val="0"/>
          <w:color w:val="000000" w:themeColor="text1"/>
          <w:sz w:val="24"/>
          <w:szCs w:val="24"/>
        </w:rPr>
        <w:t>all</w:t>
      </w:r>
      <w:r w:rsidRPr="00CF1972">
        <w:rPr>
          <w:rFonts w:ascii="Times New Roman" w:hAnsi="Times New Roman" w:cs="Times New Roman"/>
          <w:b w:val="0"/>
          <w:i/>
          <w:smallCaps w:val="0"/>
          <w:color w:val="000000" w:themeColor="text1"/>
          <w:sz w:val="24"/>
          <w:szCs w:val="24"/>
        </w:rPr>
        <w:t xml:space="preserve"> of the groups listed above.</w:t>
      </w:r>
    </w:p>
    <w:p w:rsidR="00C11DD0" w:rsidRDefault="00E83632" w:rsidP="0040404A">
      <w:pPr>
        <w:pStyle w:val="Heading3"/>
        <w:keepNext w:val="0"/>
        <w:rPr>
          <w:kern w:val="32"/>
        </w:rPr>
      </w:pPr>
      <w:r>
        <w:t>Actor Controller</w:t>
      </w:r>
    </w:p>
    <w:p w:rsidR="00B37E16" w:rsidRPr="009D6811" w:rsidRDefault="00076956" w:rsidP="0040404A">
      <w:pPr>
        <w:pStyle w:val="Heading3"/>
        <w:keepNext w:val="0"/>
        <w:rPr>
          <w:rFonts w:ascii="Times New Roman" w:hAnsi="Times New Roman" w:cs="Times New Roman"/>
          <w:b w:val="0"/>
          <w:color w:val="000000" w:themeColor="text1"/>
        </w:rPr>
      </w:pPr>
      <w:r w:rsidRPr="009D6811">
        <w:rPr>
          <w:rFonts w:ascii="Times New Roman" w:hAnsi="Times New Roman" w:cs="Times New Roman"/>
          <w:b w:val="0"/>
          <w:color w:val="000000" w:themeColor="text1"/>
        </w:rPr>
        <w:t xml:space="preserve">The Actor Cards are distributed by </w:t>
      </w:r>
      <w:r w:rsidR="00E83632">
        <w:rPr>
          <w:rFonts w:ascii="Times New Roman" w:hAnsi="Times New Roman" w:cs="Times New Roman"/>
          <w:b w:val="0"/>
          <w:color w:val="000000" w:themeColor="text1"/>
        </w:rPr>
        <w:t xml:space="preserve">the </w:t>
      </w:r>
      <w:r w:rsidRPr="009D6811">
        <w:rPr>
          <w:rFonts w:ascii="Times New Roman" w:hAnsi="Times New Roman" w:cs="Times New Roman"/>
          <w:b w:val="0"/>
          <w:color w:val="000000" w:themeColor="text1"/>
        </w:rPr>
        <w:t>Actor Cont</w:t>
      </w:r>
      <w:r w:rsidR="00CF1972">
        <w:rPr>
          <w:rFonts w:ascii="Times New Roman" w:hAnsi="Times New Roman" w:cs="Times New Roman"/>
          <w:b w:val="0"/>
          <w:color w:val="000000" w:themeColor="text1"/>
        </w:rPr>
        <w:t>r</w:t>
      </w:r>
      <w:r w:rsidRPr="009D6811">
        <w:rPr>
          <w:rFonts w:ascii="Times New Roman" w:hAnsi="Times New Roman" w:cs="Times New Roman"/>
          <w:b w:val="0"/>
          <w:color w:val="000000" w:themeColor="text1"/>
        </w:rPr>
        <w:t>oller, who will discuss their use at the Actor Orientation. Should an Actor have questions about the cards or a role, or if an Actor has concerns about what he or she is being asked to do, these should be brought to the attention of the Actor Controller.</w:t>
      </w:r>
    </w:p>
    <w:p w:rsidR="00C11DD0" w:rsidRDefault="00C11DD0" w:rsidP="0040404A">
      <w:pPr>
        <w:pStyle w:val="Heading3"/>
        <w:keepNext w:val="0"/>
        <w:rPr>
          <w:kern w:val="32"/>
        </w:rPr>
      </w:pPr>
      <w:r>
        <w:lastRenderedPageBreak/>
        <w:t>Use of the Actor Cards during Drill Play</w:t>
      </w:r>
    </w:p>
    <w:p w:rsidR="00B37E16" w:rsidRDefault="00076956" w:rsidP="0040404A">
      <w:pPr>
        <w:rPr>
          <w:kern w:val="32"/>
        </w:rPr>
      </w:pPr>
      <w:bookmarkStart w:id="0" w:name="_GoBack"/>
      <w:bookmarkEnd w:id="0"/>
      <w:r>
        <w:rPr>
          <w:kern w:val="32"/>
        </w:rPr>
        <w:t>Actors should p</w:t>
      </w:r>
      <w:r w:rsidRPr="00076956">
        <w:rPr>
          <w:kern w:val="32"/>
        </w:rPr>
        <w:t xml:space="preserve">lay the role indicated on </w:t>
      </w:r>
      <w:r>
        <w:rPr>
          <w:kern w:val="32"/>
        </w:rPr>
        <w:t xml:space="preserve">the </w:t>
      </w:r>
      <w:r w:rsidRPr="00076956">
        <w:rPr>
          <w:kern w:val="32"/>
        </w:rPr>
        <w:t>Actor Card</w:t>
      </w:r>
      <w:r>
        <w:rPr>
          <w:kern w:val="32"/>
        </w:rPr>
        <w:t xml:space="preserve">, </w:t>
      </w:r>
      <w:r w:rsidR="009D6811">
        <w:rPr>
          <w:kern w:val="32"/>
        </w:rPr>
        <w:t xml:space="preserve">using the Card information to complete the CRC </w:t>
      </w:r>
      <w:r w:rsidR="009D6811" w:rsidRPr="009D6811">
        <w:rPr>
          <w:kern w:val="32"/>
        </w:rPr>
        <w:t>registration</w:t>
      </w:r>
      <w:r w:rsidR="009D6811">
        <w:rPr>
          <w:kern w:val="32"/>
        </w:rPr>
        <w:t xml:space="preserve"> process. Actors should avoid going beyond what is on the cards. For example, </w:t>
      </w:r>
      <w:r>
        <w:rPr>
          <w:kern w:val="32"/>
        </w:rPr>
        <w:t xml:space="preserve">Actors should not </w:t>
      </w:r>
      <w:r w:rsidRPr="00076956">
        <w:rPr>
          <w:kern w:val="32"/>
        </w:rPr>
        <w:t xml:space="preserve">ad lib (make up) symptoms or situations not on </w:t>
      </w:r>
      <w:r>
        <w:rPr>
          <w:kern w:val="32"/>
        </w:rPr>
        <w:t xml:space="preserve">the card or </w:t>
      </w:r>
      <w:r w:rsidRPr="00076956">
        <w:rPr>
          <w:kern w:val="32"/>
        </w:rPr>
        <w:t xml:space="preserve">directed to </w:t>
      </w:r>
      <w:r>
        <w:rPr>
          <w:kern w:val="32"/>
        </w:rPr>
        <w:t>them</w:t>
      </w:r>
      <w:r w:rsidRPr="00076956">
        <w:rPr>
          <w:kern w:val="32"/>
        </w:rPr>
        <w:t xml:space="preserve"> by a controller. </w:t>
      </w:r>
      <w:r>
        <w:rPr>
          <w:kern w:val="32"/>
        </w:rPr>
        <w:t>Actors should avoid overacting</w:t>
      </w:r>
      <w:r w:rsidR="00055900">
        <w:rPr>
          <w:kern w:val="32"/>
        </w:rPr>
        <w:t>,</w:t>
      </w:r>
      <w:r>
        <w:rPr>
          <w:kern w:val="32"/>
        </w:rPr>
        <w:t xml:space="preserve"> but </w:t>
      </w:r>
      <w:r w:rsidR="00055900">
        <w:rPr>
          <w:kern w:val="32"/>
        </w:rPr>
        <w:t xml:space="preserve">they </w:t>
      </w:r>
      <w:r>
        <w:rPr>
          <w:kern w:val="32"/>
        </w:rPr>
        <w:t xml:space="preserve">should make their actions obvious enough for CRC staff to have an opportunity to take notice. </w:t>
      </w:r>
      <w:r w:rsidR="00055900">
        <w:rPr>
          <w:kern w:val="32"/>
        </w:rPr>
        <w:t>To help CRC staff players notice physical characteristics that in a real situation would be obvious without having to interact with an individual, Actors can wear sticky labels near their badges indicating such characteristics (e.g., “child,” “wheelchair,” “elderly</w:t>
      </w:r>
      <w:r w:rsidR="00D86321">
        <w:rPr>
          <w:kern w:val="32"/>
        </w:rPr>
        <w:t>”</w:t>
      </w:r>
      <w:r w:rsidR="00055900">
        <w:rPr>
          <w:kern w:val="32"/>
        </w:rPr>
        <w:t xml:space="preserve">). </w:t>
      </w:r>
      <w:r w:rsidR="00B37E16" w:rsidRPr="00B37E16">
        <w:rPr>
          <w:kern w:val="32"/>
        </w:rPr>
        <w:t xml:space="preserve">If the CRC staff players do not recognize </w:t>
      </w:r>
      <w:r>
        <w:rPr>
          <w:kern w:val="32"/>
        </w:rPr>
        <w:t>an Actor’s</w:t>
      </w:r>
      <w:r w:rsidR="00B37E16" w:rsidRPr="00B37E16">
        <w:rPr>
          <w:kern w:val="32"/>
        </w:rPr>
        <w:t xml:space="preserve"> </w:t>
      </w:r>
      <w:r>
        <w:rPr>
          <w:kern w:val="32"/>
        </w:rPr>
        <w:t xml:space="preserve">behaviors, </w:t>
      </w:r>
      <w:r w:rsidR="00B37E16" w:rsidRPr="00B37E16">
        <w:rPr>
          <w:kern w:val="32"/>
        </w:rPr>
        <w:t>symptoms</w:t>
      </w:r>
      <w:r w:rsidR="00055900">
        <w:rPr>
          <w:kern w:val="32"/>
        </w:rPr>
        <w:t>,</w:t>
      </w:r>
      <w:r w:rsidR="00B37E16" w:rsidRPr="00B37E16">
        <w:rPr>
          <w:kern w:val="32"/>
        </w:rPr>
        <w:t xml:space="preserve"> or the situation </w:t>
      </w:r>
      <w:r>
        <w:rPr>
          <w:kern w:val="32"/>
        </w:rPr>
        <w:t xml:space="preserve">being portrayed, an Actor may </w:t>
      </w:r>
      <w:r w:rsidR="00B37E16" w:rsidRPr="00B37E16">
        <w:rPr>
          <w:kern w:val="32"/>
        </w:rPr>
        <w:t xml:space="preserve">increase the intensity of symptoms, agitation, etc. as might occur in real life. </w:t>
      </w:r>
      <w:r w:rsidR="009D6811">
        <w:rPr>
          <w:kern w:val="32"/>
        </w:rPr>
        <w:t>Actors should not prompt the CRC staff players.</w:t>
      </w:r>
    </w:p>
    <w:p w:rsidR="009B74CD" w:rsidRDefault="009B74CD" w:rsidP="00076956">
      <w:pPr>
        <w:rPr>
          <w:kern w:val="32"/>
        </w:rPr>
      </w:pPr>
    </w:p>
    <w:p w:rsidR="009B74CD" w:rsidRPr="00B37E16" w:rsidRDefault="009B74CD" w:rsidP="00076956">
      <w:pPr>
        <w:rPr>
          <w:kern w:val="32"/>
        </w:rPr>
      </w:pPr>
      <w:r w:rsidRPr="009B74CD">
        <w:rPr>
          <w:kern w:val="32"/>
        </w:rPr>
        <w:t>Note that cards 97, 98, 103, 104, and 105, differentiated with yellow highlighting in the “Characteristics” box, should be given to CRC staff players to act out, rather than to volunteer actors.</w:t>
      </w:r>
    </w:p>
    <w:p w:rsidR="00B37E16" w:rsidRPr="00B37E16" w:rsidRDefault="00B37E16" w:rsidP="00B37E16">
      <w:pPr>
        <w:rPr>
          <w:kern w:val="32"/>
        </w:rPr>
      </w:pPr>
    </w:p>
    <w:p w:rsidR="00B37E16" w:rsidRDefault="00B37E16" w:rsidP="00B37E16">
      <w:pPr>
        <w:rPr>
          <w:kern w:val="32"/>
        </w:rPr>
      </w:pPr>
      <w:r w:rsidRPr="00B37E16">
        <w:rPr>
          <w:kern w:val="32"/>
        </w:rPr>
        <w:t xml:space="preserve">After </w:t>
      </w:r>
      <w:r w:rsidR="009D6811">
        <w:rPr>
          <w:kern w:val="32"/>
        </w:rPr>
        <w:t xml:space="preserve">an Actor finishes the CRC process and </w:t>
      </w:r>
      <w:r w:rsidRPr="00B37E16">
        <w:rPr>
          <w:kern w:val="32"/>
        </w:rPr>
        <w:t>pass</w:t>
      </w:r>
      <w:r w:rsidR="009D6811">
        <w:rPr>
          <w:kern w:val="32"/>
        </w:rPr>
        <w:t>es</w:t>
      </w:r>
      <w:r w:rsidRPr="00B37E16">
        <w:rPr>
          <w:kern w:val="32"/>
        </w:rPr>
        <w:t xml:space="preserve"> through the Discharge Station, </w:t>
      </w:r>
      <w:r w:rsidR="009D6811">
        <w:rPr>
          <w:kern w:val="32"/>
        </w:rPr>
        <w:t xml:space="preserve">the Actor should </w:t>
      </w:r>
      <w:r w:rsidRPr="00B37E16">
        <w:rPr>
          <w:kern w:val="32"/>
        </w:rPr>
        <w:t xml:space="preserve">return to the Actor Controller to turn in </w:t>
      </w:r>
      <w:r w:rsidR="009D6811">
        <w:rPr>
          <w:kern w:val="32"/>
        </w:rPr>
        <w:t xml:space="preserve">the </w:t>
      </w:r>
      <w:r w:rsidRPr="00B37E16">
        <w:rPr>
          <w:kern w:val="32"/>
        </w:rPr>
        <w:t xml:space="preserve">cards. Depending on the size of the drill, </w:t>
      </w:r>
      <w:r w:rsidR="009D6811">
        <w:rPr>
          <w:kern w:val="32"/>
        </w:rPr>
        <w:t xml:space="preserve">the cards may be reused. Likewise, Actors may be given </w:t>
      </w:r>
      <w:r w:rsidRPr="00B37E16">
        <w:rPr>
          <w:kern w:val="32"/>
        </w:rPr>
        <w:t xml:space="preserve">a new set of cards so that </w:t>
      </w:r>
      <w:r w:rsidR="009D6811">
        <w:rPr>
          <w:kern w:val="32"/>
        </w:rPr>
        <w:t xml:space="preserve">they </w:t>
      </w:r>
      <w:r w:rsidRPr="00B37E16">
        <w:rPr>
          <w:kern w:val="32"/>
        </w:rPr>
        <w:t xml:space="preserve">can proceed again, in a different role, through the CRC. </w:t>
      </w:r>
    </w:p>
    <w:p w:rsidR="002B6CBA" w:rsidRDefault="002B6CBA" w:rsidP="002B6CBA">
      <w:pPr>
        <w:pStyle w:val="Heading2"/>
        <w:rPr>
          <w:kern w:val="32"/>
        </w:rPr>
      </w:pPr>
      <w:r>
        <w:rPr>
          <w:kern w:val="32"/>
        </w:rPr>
        <w:t>Contamination Cards</w:t>
      </w:r>
    </w:p>
    <w:p w:rsidR="00FE3763" w:rsidRDefault="00AE6AF7" w:rsidP="009D6811">
      <w:pPr>
        <w:rPr>
          <w:kern w:val="32"/>
        </w:rPr>
      </w:pPr>
      <w:r>
        <w:rPr>
          <w:kern w:val="32"/>
        </w:rPr>
        <w:t xml:space="preserve">The “Contamination Cards” are used by </w:t>
      </w:r>
      <w:r w:rsidR="00C87772">
        <w:rPr>
          <w:kern w:val="32"/>
        </w:rPr>
        <w:t xml:space="preserve">radiological </w:t>
      </w:r>
      <w:r w:rsidR="00596B60">
        <w:rPr>
          <w:kern w:val="32"/>
        </w:rPr>
        <w:t xml:space="preserve">controllers to provide simulated contamination </w:t>
      </w:r>
      <w:r w:rsidR="00282361">
        <w:rPr>
          <w:kern w:val="32"/>
        </w:rPr>
        <w:t>readings</w:t>
      </w:r>
      <w:r w:rsidR="00596B60">
        <w:rPr>
          <w:kern w:val="32"/>
        </w:rPr>
        <w:t xml:space="preserve"> to CRC staff conducting radio</w:t>
      </w:r>
      <w:r w:rsidR="00C27904">
        <w:rPr>
          <w:kern w:val="32"/>
        </w:rPr>
        <w:t xml:space="preserve">logical monitoring operations. </w:t>
      </w:r>
      <w:r w:rsidR="00D760B0">
        <w:rPr>
          <w:kern w:val="32"/>
        </w:rPr>
        <w:t xml:space="preserve">The cards are an effective way to present the radiological data needed to properly evaluate the performance of the radiological portion of the CRC. </w:t>
      </w:r>
      <w:r w:rsidR="002C75CF">
        <w:rPr>
          <w:kern w:val="32"/>
        </w:rPr>
        <w:t>The front</w:t>
      </w:r>
      <w:r w:rsidR="00C87772">
        <w:rPr>
          <w:kern w:val="32"/>
        </w:rPr>
        <w:t xml:space="preserve"> side of the card provides a graphical depiction of the body areas contaminated</w:t>
      </w:r>
      <w:r w:rsidR="00C27904">
        <w:rPr>
          <w:kern w:val="32"/>
        </w:rPr>
        <w:t>,</w:t>
      </w:r>
      <w:r w:rsidR="001F6B49">
        <w:rPr>
          <w:kern w:val="32"/>
        </w:rPr>
        <w:t xml:space="preserve"> </w:t>
      </w:r>
      <w:r w:rsidR="002C75CF">
        <w:rPr>
          <w:kern w:val="32"/>
        </w:rPr>
        <w:t>and the back</w:t>
      </w:r>
      <w:r w:rsidR="001F6B49">
        <w:rPr>
          <w:kern w:val="32"/>
        </w:rPr>
        <w:t xml:space="preserve"> side provide</w:t>
      </w:r>
      <w:r w:rsidR="005604BD">
        <w:rPr>
          <w:kern w:val="32"/>
        </w:rPr>
        <w:t>s</w:t>
      </w:r>
      <w:r w:rsidR="001F6B49">
        <w:rPr>
          <w:kern w:val="32"/>
        </w:rPr>
        <w:t xml:space="preserve"> </w:t>
      </w:r>
      <w:r w:rsidR="005604BD">
        <w:rPr>
          <w:kern w:val="32"/>
        </w:rPr>
        <w:t>simulated meter readings</w:t>
      </w:r>
      <w:r w:rsidR="001F6B49">
        <w:rPr>
          <w:kern w:val="32"/>
        </w:rPr>
        <w:t xml:space="preserve"> for </w:t>
      </w:r>
      <w:r w:rsidR="005604BD">
        <w:rPr>
          <w:kern w:val="32"/>
        </w:rPr>
        <w:t xml:space="preserve">the </w:t>
      </w:r>
      <w:r w:rsidR="00AF2D34">
        <w:rPr>
          <w:kern w:val="32"/>
        </w:rPr>
        <w:t>three</w:t>
      </w:r>
      <w:r w:rsidR="001F6B49">
        <w:rPr>
          <w:kern w:val="32"/>
        </w:rPr>
        <w:t xml:space="preserve"> most commonly used</w:t>
      </w:r>
      <w:r w:rsidR="005604BD">
        <w:rPr>
          <w:kern w:val="32"/>
        </w:rPr>
        <w:t xml:space="preserve"> hand-held radiation detection instrument types.</w:t>
      </w:r>
      <w:r w:rsidR="001F6B49">
        <w:rPr>
          <w:kern w:val="32"/>
        </w:rPr>
        <w:t xml:space="preserve"> </w:t>
      </w:r>
      <w:r w:rsidR="00D46C0C">
        <w:rPr>
          <w:kern w:val="32"/>
        </w:rPr>
        <w:t xml:space="preserve">See Appendix </w:t>
      </w:r>
      <w:r w:rsidR="008D37CE">
        <w:rPr>
          <w:kern w:val="32"/>
        </w:rPr>
        <w:t>B</w:t>
      </w:r>
      <w:r w:rsidR="00D46C0C">
        <w:rPr>
          <w:kern w:val="32"/>
        </w:rPr>
        <w:t xml:space="preserve"> for an example of the </w:t>
      </w:r>
      <w:r w:rsidR="00C27904">
        <w:rPr>
          <w:kern w:val="32"/>
        </w:rPr>
        <w:t>C</w:t>
      </w:r>
      <w:r w:rsidR="00D46C0C">
        <w:rPr>
          <w:kern w:val="32"/>
        </w:rPr>
        <w:t xml:space="preserve">ontamination </w:t>
      </w:r>
      <w:r w:rsidR="00C27904">
        <w:rPr>
          <w:kern w:val="32"/>
        </w:rPr>
        <w:t>C</w:t>
      </w:r>
      <w:r w:rsidR="00D46C0C">
        <w:rPr>
          <w:kern w:val="32"/>
        </w:rPr>
        <w:t>ards.</w:t>
      </w:r>
    </w:p>
    <w:p w:rsidR="00282361" w:rsidRDefault="002B6CBA" w:rsidP="002B6CBA">
      <w:pPr>
        <w:pStyle w:val="Heading3"/>
        <w:rPr>
          <w:kern w:val="32"/>
        </w:rPr>
      </w:pPr>
      <w:bookmarkStart w:id="1" w:name="_Toc419460864"/>
      <w:r>
        <w:t>Drill Planning Considerations</w:t>
      </w:r>
      <w:bookmarkEnd w:id="1"/>
    </w:p>
    <w:p w:rsidR="001A5CD8" w:rsidRDefault="00707CC8" w:rsidP="00D46C0C">
      <w:pPr>
        <w:rPr>
          <w:kern w:val="32"/>
        </w:rPr>
      </w:pPr>
      <w:r>
        <w:rPr>
          <w:kern w:val="32"/>
        </w:rPr>
        <w:t xml:space="preserve">The </w:t>
      </w:r>
      <w:r w:rsidR="00C27904">
        <w:rPr>
          <w:kern w:val="32"/>
        </w:rPr>
        <w:t>drill</w:t>
      </w:r>
      <w:r>
        <w:rPr>
          <w:kern w:val="32"/>
        </w:rPr>
        <w:t xml:space="preserve"> planners must</w:t>
      </w:r>
      <w:r w:rsidR="00282361" w:rsidRPr="00282361">
        <w:rPr>
          <w:kern w:val="32"/>
        </w:rPr>
        <w:t xml:space="preserve"> determine the appropriate number of people (actors) </w:t>
      </w:r>
      <w:r w:rsidR="00C27904">
        <w:rPr>
          <w:kern w:val="32"/>
        </w:rPr>
        <w:t>who</w:t>
      </w:r>
      <w:r w:rsidR="00282361" w:rsidRPr="00282361">
        <w:rPr>
          <w:kern w:val="32"/>
        </w:rPr>
        <w:t xml:space="preserve"> need to pass through each station in the </w:t>
      </w:r>
      <w:r w:rsidR="00C27904">
        <w:rPr>
          <w:kern w:val="32"/>
        </w:rPr>
        <w:t>CRC</w:t>
      </w:r>
      <w:r w:rsidR="00282361" w:rsidRPr="00282361">
        <w:rPr>
          <w:kern w:val="32"/>
        </w:rPr>
        <w:t xml:space="preserve"> to effectively evaluate the various functions. </w:t>
      </w:r>
      <w:r w:rsidR="001A5CD8">
        <w:rPr>
          <w:kern w:val="32"/>
        </w:rPr>
        <w:t>This includes actors to represent people needing to be monitored, decontaminated, re-monitored after decontamination</w:t>
      </w:r>
      <w:r w:rsidR="00F52009">
        <w:rPr>
          <w:kern w:val="32"/>
        </w:rPr>
        <w:t>, and registered as well as those</w:t>
      </w:r>
      <w:r w:rsidR="001A5CD8">
        <w:rPr>
          <w:kern w:val="32"/>
        </w:rPr>
        <w:t xml:space="preserve"> given medical evaluation or intervention. CRCs may vary significantly in size among jurisdictions, so it is important to first determine the capacity of the specific site being drilled. </w:t>
      </w:r>
      <w:r w:rsidR="00EB68CD">
        <w:rPr>
          <w:kern w:val="32"/>
        </w:rPr>
        <w:t>It is recommended that there be 60</w:t>
      </w:r>
      <w:r w:rsidR="00EB68CD">
        <w:rPr>
          <w:rFonts w:ascii="Calibri" w:hAnsi="Calibri"/>
          <w:kern w:val="32"/>
        </w:rPr>
        <w:t>–</w:t>
      </w:r>
      <w:r w:rsidR="00EB68CD">
        <w:rPr>
          <w:kern w:val="32"/>
        </w:rPr>
        <w:t xml:space="preserve">75 actors per every 300 affected people to be portrayed. </w:t>
      </w:r>
    </w:p>
    <w:p w:rsidR="001A5CD8" w:rsidRDefault="001A5CD8" w:rsidP="00D46C0C">
      <w:pPr>
        <w:rPr>
          <w:kern w:val="32"/>
        </w:rPr>
      </w:pPr>
    </w:p>
    <w:p w:rsidR="001A5CD8" w:rsidRDefault="00D46C0C" w:rsidP="00D46C0C">
      <w:pPr>
        <w:rPr>
          <w:kern w:val="32"/>
        </w:rPr>
      </w:pPr>
      <w:r>
        <w:rPr>
          <w:kern w:val="32"/>
        </w:rPr>
        <w:t xml:space="preserve">The planners </w:t>
      </w:r>
      <w:r w:rsidR="00707CC8">
        <w:rPr>
          <w:kern w:val="32"/>
        </w:rPr>
        <w:t xml:space="preserve">must also </w:t>
      </w:r>
      <w:r>
        <w:rPr>
          <w:kern w:val="32"/>
        </w:rPr>
        <w:t>d</w:t>
      </w:r>
      <w:r w:rsidRPr="00C87772">
        <w:rPr>
          <w:kern w:val="32"/>
        </w:rPr>
        <w:t xml:space="preserve">etermine </w:t>
      </w:r>
      <w:r>
        <w:rPr>
          <w:kern w:val="32"/>
        </w:rPr>
        <w:t xml:space="preserve">the </w:t>
      </w:r>
      <w:r w:rsidR="00EF7909">
        <w:rPr>
          <w:kern w:val="32"/>
        </w:rPr>
        <w:t xml:space="preserve">ratio of contaminated to </w:t>
      </w:r>
      <w:r w:rsidRPr="00C87772">
        <w:rPr>
          <w:kern w:val="32"/>
        </w:rPr>
        <w:t>clean</w:t>
      </w:r>
      <w:r>
        <w:rPr>
          <w:kern w:val="32"/>
        </w:rPr>
        <w:t xml:space="preserve"> actors needed</w:t>
      </w:r>
      <w:r w:rsidR="001A5CD8">
        <w:rPr>
          <w:kern w:val="32"/>
        </w:rPr>
        <w:t>:</w:t>
      </w:r>
    </w:p>
    <w:p w:rsidR="001A5CD8" w:rsidRDefault="001A5CD8" w:rsidP="00D46C0C">
      <w:pPr>
        <w:rPr>
          <w:kern w:val="32"/>
        </w:rPr>
      </w:pPr>
    </w:p>
    <w:p w:rsidR="001A5CD8" w:rsidRPr="001A5CD8" w:rsidRDefault="001A5CD8" w:rsidP="001A5CD8">
      <w:pPr>
        <w:pStyle w:val="ListParagraph"/>
        <w:numPr>
          <w:ilvl w:val="0"/>
          <w:numId w:val="38"/>
        </w:numPr>
        <w:spacing w:after="240" w:line="240" w:lineRule="auto"/>
        <w:contextualSpacing w:val="0"/>
        <w:rPr>
          <w:rFonts w:ascii="Times New Roman" w:hAnsi="Times New Roman" w:cs="Times New Roman"/>
          <w:kern w:val="32"/>
          <w:sz w:val="24"/>
          <w:szCs w:val="24"/>
        </w:rPr>
      </w:pPr>
      <w:r w:rsidRPr="001A5CD8">
        <w:rPr>
          <w:rFonts w:ascii="Times New Roman" w:hAnsi="Times New Roman" w:cs="Times New Roman"/>
          <w:kern w:val="32"/>
          <w:sz w:val="24"/>
          <w:szCs w:val="24"/>
        </w:rPr>
        <w:t>If drill play will focus on the receiving and monitoring stations, a lower ratio (15–25%) of actors should be contaminated. The lower ratio will help prevent backups from a potentially understaffed decontamination station</w:t>
      </w:r>
      <w:r w:rsidR="00C27904" w:rsidRPr="001A5CD8">
        <w:rPr>
          <w:rFonts w:ascii="Times New Roman" w:hAnsi="Times New Roman" w:cs="Times New Roman"/>
          <w:kern w:val="32"/>
          <w:sz w:val="24"/>
          <w:szCs w:val="24"/>
        </w:rPr>
        <w:t xml:space="preserve">. </w:t>
      </w:r>
    </w:p>
    <w:p w:rsidR="001A5CD8" w:rsidRPr="001A5CD8" w:rsidRDefault="001A5CD8" w:rsidP="001A5CD8">
      <w:pPr>
        <w:pStyle w:val="ListParagraph"/>
        <w:numPr>
          <w:ilvl w:val="0"/>
          <w:numId w:val="38"/>
        </w:numPr>
        <w:spacing w:after="240" w:line="240" w:lineRule="auto"/>
        <w:contextualSpacing w:val="0"/>
        <w:rPr>
          <w:rFonts w:ascii="Times New Roman" w:hAnsi="Times New Roman" w:cs="Times New Roman"/>
          <w:kern w:val="32"/>
          <w:sz w:val="24"/>
          <w:szCs w:val="24"/>
        </w:rPr>
      </w:pPr>
      <w:r w:rsidRPr="001A5CD8">
        <w:rPr>
          <w:rFonts w:ascii="Times New Roman" w:hAnsi="Times New Roman" w:cs="Times New Roman"/>
          <w:kern w:val="32"/>
          <w:sz w:val="24"/>
          <w:szCs w:val="24"/>
        </w:rPr>
        <w:lastRenderedPageBreak/>
        <w:t>If drill play will focus on the decontamination stations, the ratio should be much higher (75–85%).</w:t>
      </w:r>
    </w:p>
    <w:p w:rsidR="001A5CD8" w:rsidRPr="001A5CD8" w:rsidRDefault="001A5CD8" w:rsidP="001A5CD8">
      <w:pPr>
        <w:pStyle w:val="ListParagraph"/>
        <w:numPr>
          <w:ilvl w:val="0"/>
          <w:numId w:val="38"/>
        </w:numPr>
        <w:spacing w:after="0" w:line="240" w:lineRule="auto"/>
        <w:contextualSpacing w:val="0"/>
        <w:rPr>
          <w:rFonts w:ascii="Times New Roman" w:hAnsi="Times New Roman" w:cs="Times New Roman"/>
          <w:kern w:val="32"/>
          <w:sz w:val="24"/>
          <w:szCs w:val="24"/>
        </w:rPr>
      </w:pPr>
      <w:r w:rsidRPr="001A5CD8">
        <w:rPr>
          <w:rFonts w:ascii="Times New Roman" w:hAnsi="Times New Roman" w:cs="Times New Roman"/>
          <w:kern w:val="32"/>
          <w:sz w:val="24"/>
          <w:szCs w:val="24"/>
        </w:rPr>
        <w:t>If all stations are being drilled and evaluated equally, the ratio should be more balanced (near 50%).</w:t>
      </w:r>
      <w:r w:rsidR="00F52009">
        <w:rPr>
          <w:rStyle w:val="FootnoteReference"/>
          <w:rFonts w:ascii="Times New Roman" w:hAnsi="Times New Roman" w:cs="Times New Roman"/>
          <w:kern w:val="32"/>
          <w:sz w:val="24"/>
          <w:szCs w:val="24"/>
        </w:rPr>
        <w:footnoteReference w:id="1"/>
      </w:r>
      <w:r w:rsidRPr="001A5CD8">
        <w:rPr>
          <w:rFonts w:ascii="Times New Roman" w:hAnsi="Times New Roman" w:cs="Times New Roman"/>
          <w:kern w:val="32"/>
          <w:sz w:val="24"/>
          <w:szCs w:val="24"/>
        </w:rPr>
        <w:t xml:space="preserve">  </w:t>
      </w:r>
    </w:p>
    <w:p w:rsidR="001A5CD8" w:rsidRDefault="001A5CD8" w:rsidP="00D46C0C">
      <w:pPr>
        <w:rPr>
          <w:kern w:val="32"/>
        </w:rPr>
      </w:pPr>
    </w:p>
    <w:p w:rsidR="00D46C0C" w:rsidRPr="00C87772" w:rsidRDefault="002B6CBA" w:rsidP="00D46C0C">
      <w:pPr>
        <w:rPr>
          <w:kern w:val="32"/>
        </w:rPr>
      </w:pPr>
      <w:r>
        <w:rPr>
          <w:kern w:val="32"/>
        </w:rPr>
        <w:t xml:space="preserve">The Actor Cards include people with Acute Radiation Syndrome; if these cards </w:t>
      </w:r>
      <w:r w:rsidR="001A5CD8">
        <w:rPr>
          <w:kern w:val="32"/>
        </w:rPr>
        <w:t>are</w:t>
      </w:r>
      <w:r>
        <w:rPr>
          <w:kern w:val="32"/>
        </w:rPr>
        <w:t xml:space="preserve"> used, those actors will also need to have Contamination Cards showing</w:t>
      </w:r>
      <w:r w:rsidR="00D46C0C">
        <w:rPr>
          <w:kern w:val="32"/>
        </w:rPr>
        <w:t xml:space="preserve"> high contamination levels.</w:t>
      </w:r>
      <w:r w:rsidR="00A42ECD">
        <w:rPr>
          <w:kern w:val="32"/>
        </w:rPr>
        <w:t xml:space="preserve"> </w:t>
      </w:r>
    </w:p>
    <w:p w:rsidR="00282361" w:rsidRPr="00282361" w:rsidRDefault="00282361" w:rsidP="00282361">
      <w:pPr>
        <w:rPr>
          <w:kern w:val="32"/>
        </w:rPr>
      </w:pPr>
      <w:r w:rsidRPr="00282361">
        <w:rPr>
          <w:kern w:val="32"/>
        </w:rPr>
        <w:t xml:space="preserve"> </w:t>
      </w:r>
    </w:p>
    <w:p w:rsidR="00FE3763" w:rsidRDefault="002B6CBA" w:rsidP="00FE3763">
      <w:pPr>
        <w:rPr>
          <w:kern w:val="32"/>
        </w:rPr>
      </w:pPr>
      <w:r>
        <w:rPr>
          <w:kern w:val="32"/>
        </w:rPr>
        <w:t>The Toolkit includes 100</w:t>
      </w:r>
      <w:r w:rsidR="00C071A4" w:rsidRPr="00C071A4">
        <w:rPr>
          <w:kern w:val="32"/>
        </w:rPr>
        <w:t xml:space="preserve"> contamination cards in </w:t>
      </w:r>
      <w:r w:rsidR="00C071A4">
        <w:rPr>
          <w:kern w:val="32"/>
        </w:rPr>
        <w:t xml:space="preserve">both </w:t>
      </w:r>
      <w:r w:rsidR="00C071A4" w:rsidRPr="00C071A4">
        <w:rPr>
          <w:kern w:val="32"/>
        </w:rPr>
        <w:t xml:space="preserve">Adobe Acrobat and Microsoft Publisher formats. The cards </w:t>
      </w:r>
      <w:r w:rsidR="00C071A4">
        <w:rPr>
          <w:kern w:val="32"/>
        </w:rPr>
        <w:t>are grouped in two sets of 50</w:t>
      </w:r>
      <w:r>
        <w:rPr>
          <w:kern w:val="32"/>
        </w:rPr>
        <w:t>; each set</w:t>
      </w:r>
      <w:r w:rsidR="002A58AF">
        <w:rPr>
          <w:kern w:val="32"/>
        </w:rPr>
        <w:t xml:space="preserve"> include</w:t>
      </w:r>
      <w:r>
        <w:rPr>
          <w:kern w:val="32"/>
        </w:rPr>
        <w:t>s</w:t>
      </w:r>
      <w:r w:rsidR="00282361">
        <w:rPr>
          <w:kern w:val="32"/>
        </w:rPr>
        <w:t xml:space="preserve"> </w:t>
      </w:r>
      <w:r w:rsidR="00C071A4" w:rsidRPr="00C071A4">
        <w:rPr>
          <w:kern w:val="32"/>
        </w:rPr>
        <w:t xml:space="preserve">cards with differing contamination levels on </w:t>
      </w:r>
      <w:r w:rsidR="002A58AF">
        <w:rPr>
          <w:kern w:val="32"/>
        </w:rPr>
        <w:t xml:space="preserve">various </w:t>
      </w:r>
      <w:r w:rsidR="00C071A4" w:rsidRPr="00C071A4">
        <w:rPr>
          <w:kern w:val="32"/>
        </w:rPr>
        <w:t>body parts. A sma</w:t>
      </w:r>
      <w:r w:rsidR="002A58AF">
        <w:rPr>
          <w:kern w:val="32"/>
        </w:rPr>
        <w:t xml:space="preserve">ll </w:t>
      </w:r>
      <w:r>
        <w:rPr>
          <w:kern w:val="32"/>
        </w:rPr>
        <w:t>drill</w:t>
      </w:r>
      <w:r w:rsidR="002A58AF">
        <w:rPr>
          <w:kern w:val="32"/>
        </w:rPr>
        <w:t xml:space="preserve"> might only use one set (or part of a set)</w:t>
      </w:r>
      <w:proofErr w:type="gramStart"/>
      <w:r w:rsidR="00C071A4" w:rsidRPr="00C071A4">
        <w:rPr>
          <w:kern w:val="32"/>
        </w:rPr>
        <w:t>,</w:t>
      </w:r>
      <w:proofErr w:type="gramEnd"/>
      <w:r w:rsidR="00C071A4" w:rsidRPr="00C071A4">
        <w:rPr>
          <w:kern w:val="32"/>
        </w:rPr>
        <w:t xml:space="preserve"> while a larger </w:t>
      </w:r>
      <w:r>
        <w:rPr>
          <w:kern w:val="32"/>
        </w:rPr>
        <w:t>drill</w:t>
      </w:r>
      <w:r w:rsidR="00C071A4" w:rsidRPr="00C071A4">
        <w:rPr>
          <w:kern w:val="32"/>
        </w:rPr>
        <w:t xml:space="preserve"> might use </w:t>
      </w:r>
      <w:r w:rsidR="002A58AF">
        <w:rPr>
          <w:kern w:val="32"/>
        </w:rPr>
        <w:t xml:space="preserve">both </w:t>
      </w:r>
      <w:r w:rsidR="00C071A4" w:rsidRPr="00C071A4">
        <w:rPr>
          <w:kern w:val="32"/>
        </w:rPr>
        <w:t xml:space="preserve">sets and even </w:t>
      </w:r>
      <w:r w:rsidR="00FE3763">
        <w:rPr>
          <w:kern w:val="32"/>
        </w:rPr>
        <w:t>require planners to duplicate</w:t>
      </w:r>
      <w:r w:rsidR="00C071A4" w:rsidRPr="00C071A4">
        <w:rPr>
          <w:kern w:val="32"/>
        </w:rPr>
        <w:t xml:space="preserve"> the sets to meet the required number of cont</w:t>
      </w:r>
      <w:r w:rsidR="00EF7909">
        <w:rPr>
          <w:kern w:val="32"/>
        </w:rPr>
        <w:t>aminat</w:t>
      </w:r>
      <w:r w:rsidR="00C071A4" w:rsidRPr="00C071A4">
        <w:rPr>
          <w:kern w:val="32"/>
        </w:rPr>
        <w:t xml:space="preserve">ed persons. </w:t>
      </w:r>
      <w:r w:rsidR="002A58AF">
        <w:rPr>
          <w:kern w:val="32"/>
        </w:rPr>
        <w:t xml:space="preserve">A set of blank </w:t>
      </w:r>
      <w:r w:rsidR="00C071A4" w:rsidRPr="00C071A4">
        <w:rPr>
          <w:kern w:val="32"/>
        </w:rPr>
        <w:t xml:space="preserve">cards </w:t>
      </w:r>
      <w:r w:rsidR="002A58AF">
        <w:rPr>
          <w:kern w:val="32"/>
        </w:rPr>
        <w:t xml:space="preserve">is included </w:t>
      </w:r>
      <w:r w:rsidR="00282361">
        <w:rPr>
          <w:kern w:val="32"/>
        </w:rPr>
        <w:t>for the non-contaminated persons</w:t>
      </w:r>
      <w:r w:rsidR="00FE3763">
        <w:rPr>
          <w:kern w:val="32"/>
        </w:rPr>
        <w:t>. Drill</w:t>
      </w:r>
      <w:r w:rsidR="00C071A4" w:rsidRPr="00C071A4">
        <w:rPr>
          <w:kern w:val="32"/>
        </w:rPr>
        <w:t xml:space="preserve"> planners </w:t>
      </w:r>
      <w:r w:rsidR="00FE3763">
        <w:rPr>
          <w:kern w:val="32"/>
        </w:rPr>
        <w:t xml:space="preserve">can also use these blank cards </w:t>
      </w:r>
      <w:r w:rsidR="002A58AF">
        <w:rPr>
          <w:kern w:val="32"/>
        </w:rPr>
        <w:t xml:space="preserve">to create their own cards </w:t>
      </w:r>
      <w:r w:rsidR="00C071A4" w:rsidRPr="00C071A4">
        <w:rPr>
          <w:kern w:val="32"/>
        </w:rPr>
        <w:t>to drive specific actions</w:t>
      </w:r>
      <w:r w:rsidR="00FE3763">
        <w:rPr>
          <w:kern w:val="32"/>
        </w:rPr>
        <w:t>.</w:t>
      </w:r>
      <w:r w:rsidR="00E414A1">
        <w:rPr>
          <w:kern w:val="32"/>
        </w:rPr>
        <w:t xml:space="preserve"> </w:t>
      </w:r>
    </w:p>
    <w:p w:rsidR="00FE3763" w:rsidRDefault="00FE3763" w:rsidP="00FE3763">
      <w:pPr>
        <w:pStyle w:val="Heading3"/>
        <w:rPr>
          <w:kern w:val="32"/>
        </w:rPr>
      </w:pPr>
      <w:r>
        <w:t>Radiological Controllers</w:t>
      </w:r>
    </w:p>
    <w:p w:rsidR="00FE3763" w:rsidRDefault="00FE3763" w:rsidP="000D0CF4">
      <w:pPr>
        <w:rPr>
          <w:kern w:val="32"/>
        </w:rPr>
      </w:pPr>
      <w:r>
        <w:rPr>
          <w:kern w:val="32"/>
        </w:rPr>
        <w:t xml:space="preserve">Each </w:t>
      </w:r>
      <w:r w:rsidR="00603ECF">
        <w:rPr>
          <w:kern w:val="32"/>
        </w:rPr>
        <w:t xml:space="preserve">radiation </w:t>
      </w:r>
      <w:r>
        <w:rPr>
          <w:kern w:val="32"/>
        </w:rPr>
        <w:t xml:space="preserve">monitoring </w:t>
      </w:r>
      <w:r w:rsidR="00603ECF">
        <w:rPr>
          <w:kern w:val="32"/>
        </w:rPr>
        <w:t>lane</w:t>
      </w:r>
      <w:r>
        <w:rPr>
          <w:kern w:val="32"/>
        </w:rPr>
        <w:t xml:space="preserve"> during the drill should have an assigned Radiological Controller. This controller will be</w:t>
      </w:r>
      <w:r w:rsidR="00D760B0">
        <w:rPr>
          <w:kern w:val="32"/>
        </w:rPr>
        <w:t xml:space="preserve"> responsible for</w:t>
      </w:r>
      <w:r w:rsidR="00DD45A2">
        <w:rPr>
          <w:kern w:val="32"/>
        </w:rPr>
        <w:t xml:space="preserve"> </w:t>
      </w:r>
      <w:r w:rsidR="00DD45A2" w:rsidRPr="00DD45A2">
        <w:rPr>
          <w:kern w:val="32"/>
        </w:rPr>
        <w:t xml:space="preserve">providing information (simulated instrument readings) to </w:t>
      </w:r>
      <w:r>
        <w:rPr>
          <w:kern w:val="32"/>
        </w:rPr>
        <w:t xml:space="preserve">CRC </w:t>
      </w:r>
      <w:r w:rsidR="00DD45A2" w:rsidRPr="00DD45A2">
        <w:rPr>
          <w:kern w:val="32"/>
        </w:rPr>
        <w:t>radiological monitoring staff</w:t>
      </w:r>
      <w:r w:rsidR="00DD45A2">
        <w:rPr>
          <w:kern w:val="32"/>
        </w:rPr>
        <w:t>.</w:t>
      </w:r>
      <w:r w:rsidR="000D0CF4">
        <w:rPr>
          <w:kern w:val="32"/>
        </w:rPr>
        <w:t xml:space="preserve"> </w:t>
      </w:r>
      <w:r>
        <w:rPr>
          <w:kern w:val="32"/>
        </w:rPr>
        <w:t>The Radiological Controller will provide t</w:t>
      </w:r>
      <w:r w:rsidR="000D0CF4">
        <w:rPr>
          <w:kern w:val="32"/>
        </w:rPr>
        <w:t xml:space="preserve">he readings </w:t>
      </w:r>
      <w:r>
        <w:rPr>
          <w:kern w:val="32"/>
        </w:rPr>
        <w:t>from the card v</w:t>
      </w:r>
      <w:r w:rsidR="000D0CF4">
        <w:rPr>
          <w:kern w:val="32"/>
        </w:rPr>
        <w:t>erbally as the frisking is in progress.</w:t>
      </w:r>
      <w:r w:rsidR="00D46C0C">
        <w:rPr>
          <w:kern w:val="32"/>
        </w:rPr>
        <w:t xml:space="preserve"> </w:t>
      </w:r>
      <w:r w:rsidR="00C47FB1">
        <w:rPr>
          <w:kern w:val="32"/>
        </w:rPr>
        <w:t xml:space="preserve">The Radiological Controller will assess the monitoring staff’s monitoring technique to determine whether the reading has been “earned” (see next section). </w:t>
      </w:r>
      <w:r w:rsidR="00A75B1A">
        <w:rPr>
          <w:kern w:val="32"/>
        </w:rPr>
        <w:t xml:space="preserve">The players will be informed about this process during their </w:t>
      </w:r>
      <w:r w:rsidR="00B617AF">
        <w:rPr>
          <w:kern w:val="32"/>
        </w:rPr>
        <w:t xml:space="preserve">pre-drill </w:t>
      </w:r>
      <w:r w:rsidR="00A75B1A">
        <w:rPr>
          <w:kern w:val="32"/>
        </w:rPr>
        <w:t>briefing</w:t>
      </w:r>
      <w:r w:rsidR="00D46C0C">
        <w:rPr>
          <w:kern w:val="32"/>
        </w:rPr>
        <w:t xml:space="preserve">. </w:t>
      </w:r>
      <w:r>
        <w:rPr>
          <w:kern w:val="32"/>
        </w:rPr>
        <w:t xml:space="preserve">The </w:t>
      </w:r>
      <w:r w:rsidR="000D0CF4">
        <w:rPr>
          <w:kern w:val="32"/>
        </w:rPr>
        <w:t>Contamination C</w:t>
      </w:r>
      <w:r w:rsidR="000D0CF4" w:rsidRPr="00C87772">
        <w:rPr>
          <w:kern w:val="32"/>
        </w:rPr>
        <w:t xml:space="preserve">ards are </w:t>
      </w:r>
      <w:r w:rsidR="000D0CF4">
        <w:rPr>
          <w:kern w:val="32"/>
        </w:rPr>
        <w:t>a</w:t>
      </w:r>
      <w:r>
        <w:rPr>
          <w:kern w:val="32"/>
        </w:rPr>
        <w:t xml:space="preserve"> drill</w:t>
      </w:r>
      <w:r w:rsidR="000D0CF4">
        <w:rPr>
          <w:kern w:val="32"/>
        </w:rPr>
        <w:t xml:space="preserve"> tool</w:t>
      </w:r>
      <w:r>
        <w:rPr>
          <w:kern w:val="32"/>
        </w:rPr>
        <w:t xml:space="preserve"> for the use of the Radiological Controller</w:t>
      </w:r>
      <w:r w:rsidR="000D0CF4">
        <w:rPr>
          <w:kern w:val="32"/>
        </w:rPr>
        <w:t xml:space="preserve"> and </w:t>
      </w:r>
      <w:r w:rsidR="00D46C0C">
        <w:rPr>
          <w:kern w:val="32"/>
        </w:rPr>
        <w:t xml:space="preserve">must </w:t>
      </w:r>
      <w:r>
        <w:rPr>
          <w:kern w:val="32"/>
        </w:rPr>
        <w:t>not be shared with the CRC staff players.</w:t>
      </w:r>
    </w:p>
    <w:p w:rsidR="00A42ECD" w:rsidRDefault="00A42ECD" w:rsidP="000D0CF4">
      <w:pPr>
        <w:rPr>
          <w:kern w:val="32"/>
        </w:rPr>
      </w:pPr>
    </w:p>
    <w:p w:rsidR="00A42ECD" w:rsidRDefault="00A42ECD" w:rsidP="000D0CF4">
      <w:pPr>
        <w:rPr>
          <w:kern w:val="32"/>
        </w:rPr>
      </w:pPr>
      <w:r w:rsidRPr="00D81B0B">
        <w:rPr>
          <w:kern w:val="32"/>
        </w:rPr>
        <w:t xml:space="preserve">The </w:t>
      </w:r>
      <w:r w:rsidRPr="00E414A1">
        <w:rPr>
          <w:kern w:val="32"/>
          <w:u w:val="single"/>
        </w:rPr>
        <w:t>Lead Radiological Controller</w:t>
      </w:r>
      <w:r w:rsidRPr="00566798">
        <w:rPr>
          <w:kern w:val="32"/>
        </w:rPr>
        <w:t xml:space="preserve"> is responsible for assignin</w:t>
      </w:r>
      <w:r>
        <w:rPr>
          <w:kern w:val="32"/>
        </w:rPr>
        <w:t xml:space="preserve">g contamination cards to actors, coordinating the duties of other Radiological Controllers, and answering radiological questions and resolving issues, as needed. The Lead Radiological Controller must coordinate closely with the Lead Controller for the drill and receive feedback from other Radiological Controllers </w:t>
      </w:r>
      <w:r w:rsidRPr="00C87772">
        <w:rPr>
          <w:kern w:val="32"/>
        </w:rPr>
        <w:t>to increase</w:t>
      </w:r>
      <w:r>
        <w:rPr>
          <w:kern w:val="32"/>
        </w:rPr>
        <w:t xml:space="preserve"> or decrease rate of assigning cards with contamination to actors.</w:t>
      </w:r>
    </w:p>
    <w:p w:rsidR="00FE3763" w:rsidRDefault="00FE3763" w:rsidP="00FE3763">
      <w:pPr>
        <w:pStyle w:val="Heading3"/>
        <w:rPr>
          <w:kern w:val="32"/>
        </w:rPr>
      </w:pPr>
      <w:r>
        <w:t>Use of the Contamination Cards during Drill Play</w:t>
      </w:r>
    </w:p>
    <w:p w:rsidR="00D81B0B" w:rsidRDefault="00566798" w:rsidP="00D81B0B">
      <w:pPr>
        <w:rPr>
          <w:kern w:val="32"/>
        </w:rPr>
      </w:pPr>
      <w:r>
        <w:rPr>
          <w:kern w:val="32"/>
        </w:rPr>
        <w:t xml:space="preserve">Radiological </w:t>
      </w:r>
      <w:r w:rsidR="00A42ECD">
        <w:rPr>
          <w:kern w:val="32"/>
        </w:rPr>
        <w:t>C</w:t>
      </w:r>
      <w:r>
        <w:rPr>
          <w:kern w:val="32"/>
        </w:rPr>
        <w:t>ontrollers</w:t>
      </w:r>
      <w:r w:rsidR="00D81B0B">
        <w:rPr>
          <w:kern w:val="32"/>
        </w:rPr>
        <w:t xml:space="preserve"> at the </w:t>
      </w:r>
      <w:r w:rsidR="00A42ECD" w:rsidRPr="00A42ECD">
        <w:rPr>
          <w:kern w:val="32"/>
          <w:u w:val="single"/>
        </w:rPr>
        <w:t>Contamination Screening S</w:t>
      </w:r>
      <w:r w:rsidR="00D81B0B" w:rsidRPr="00E414A1">
        <w:rPr>
          <w:kern w:val="32"/>
          <w:u w:val="single"/>
        </w:rPr>
        <w:t>tation</w:t>
      </w:r>
      <w:r w:rsidR="00D81B0B">
        <w:rPr>
          <w:kern w:val="32"/>
        </w:rPr>
        <w:t xml:space="preserve"> will observe the frisking technique and provide </w:t>
      </w:r>
      <w:r w:rsidR="00A42ECD">
        <w:rPr>
          <w:kern w:val="32"/>
        </w:rPr>
        <w:t xml:space="preserve">a </w:t>
      </w:r>
      <w:r w:rsidR="00D81B0B">
        <w:rPr>
          <w:kern w:val="32"/>
        </w:rPr>
        <w:t>simulated met</w:t>
      </w:r>
      <w:r w:rsidR="00A42ECD">
        <w:rPr>
          <w:kern w:val="32"/>
        </w:rPr>
        <w:t xml:space="preserve">er reading when it is earned. </w:t>
      </w:r>
      <w:r w:rsidR="00D81B0B">
        <w:rPr>
          <w:kern w:val="32"/>
        </w:rPr>
        <w:t xml:space="preserve">For a reading to be earned, </w:t>
      </w:r>
      <w:r w:rsidR="00A42ECD">
        <w:rPr>
          <w:kern w:val="32"/>
        </w:rPr>
        <w:t xml:space="preserve">all of </w:t>
      </w:r>
      <w:r w:rsidR="00D81B0B">
        <w:rPr>
          <w:kern w:val="32"/>
        </w:rPr>
        <w:t>the following conditions must be met:</w:t>
      </w:r>
    </w:p>
    <w:p w:rsidR="00A42ECD" w:rsidRDefault="00A42ECD" w:rsidP="00D81B0B">
      <w:pPr>
        <w:rPr>
          <w:kern w:val="32"/>
        </w:rPr>
      </w:pPr>
    </w:p>
    <w:p w:rsidR="00D81B0B" w:rsidRPr="00A42ECD" w:rsidRDefault="00D81B0B" w:rsidP="00A42ECD">
      <w:pPr>
        <w:pStyle w:val="ListParagraph"/>
        <w:numPr>
          <w:ilvl w:val="0"/>
          <w:numId w:val="30"/>
        </w:numPr>
        <w:spacing w:after="0" w:line="240" w:lineRule="auto"/>
        <w:contextualSpacing w:val="0"/>
        <w:rPr>
          <w:rFonts w:ascii="Times New Roman" w:hAnsi="Times New Roman" w:cs="Times New Roman"/>
          <w:kern w:val="32"/>
          <w:sz w:val="24"/>
          <w:szCs w:val="24"/>
        </w:rPr>
      </w:pPr>
      <w:r w:rsidRPr="00A42ECD">
        <w:rPr>
          <w:rFonts w:ascii="Times New Roman" w:hAnsi="Times New Roman" w:cs="Times New Roman"/>
          <w:kern w:val="32"/>
          <w:sz w:val="24"/>
          <w:szCs w:val="24"/>
        </w:rPr>
        <w:t xml:space="preserve">The </w:t>
      </w:r>
      <w:r w:rsidR="000619E8" w:rsidRPr="00A42ECD">
        <w:rPr>
          <w:rFonts w:ascii="Times New Roman" w:hAnsi="Times New Roman" w:cs="Times New Roman"/>
          <w:kern w:val="32"/>
          <w:sz w:val="24"/>
          <w:szCs w:val="24"/>
        </w:rPr>
        <w:t>instrument must be turned on</w:t>
      </w:r>
      <w:r w:rsidR="00A42ECD">
        <w:rPr>
          <w:rFonts w:ascii="Times New Roman" w:hAnsi="Times New Roman" w:cs="Times New Roman"/>
          <w:kern w:val="32"/>
          <w:sz w:val="24"/>
          <w:szCs w:val="24"/>
        </w:rPr>
        <w:t>.</w:t>
      </w:r>
    </w:p>
    <w:p w:rsidR="00D81B0B" w:rsidRPr="00A42ECD" w:rsidRDefault="00A42ECD" w:rsidP="00A42ECD">
      <w:pPr>
        <w:pStyle w:val="ListParagraph"/>
        <w:numPr>
          <w:ilvl w:val="0"/>
          <w:numId w:val="30"/>
        </w:numPr>
        <w:spacing w:after="0" w:line="240" w:lineRule="auto"/>
        <w:contextualSpacing w:val="0"/>
        <w:rPr>
          <w:rFonts w:ascii="Times New Roman" w:hAnsi="Times New Roman" w:cs="Times New Roman"/>
          <w:kern w:val="32"/>
          <w:sz w:val="24"/>
          <w:szCs w:val="24"/>
        </w:rPr>
      </w:pPr>
      <w:r>
        <w:rPr>
          <w:rFonts w:ascii="Times New Roman" w:hAnsi="Times New Roman" w:cs="Times New Roman"/>
          <w:kern w:val="32"/>
          <w:sz w:val="24"/>
          <w:szCs w:val="24"/>
        </w:rPr>
        <w:t>T</w:t>
      </w:r>
      <w:r w:rsidR="00D81B0B" w:rsidRPr="00A42ECD">
        <w:rPr>
          <w:rFonts w:ascii="Times New Roman" w:hAnsi="Times New Roman" w:cs="Times New Roman"/>
          <w:kern w:val="32"/>
          <w:sz w:val="24"/>
          <w:szCs w:val="24"/>
        </w:rPr>
        <w:t>he instrument must have a good battery</w:t>
      </w:r>
      <w:r>
        <w:rPr>
          <w:rFonts w:ascii="Times New Roman" w:hAnsi="Times New Roman" w:cs="Times New Roman"/>
          <w:kern w:val="32"/>
          <w:sz w:val="24"/>
          <w:szCs w:val="24"/>
        </w:rPr>
        <w:t>.</w:t>
      </w:r>
      <w:r w:rsidR="00D81B0B" w:rsidRPr="00A42ECD">
        <w:rPr>
          <w:rFonts w:ascii="Times New Roman" w:hAnsi="Times New Roman" w:cs="Times New Roman"/>
          <w:kern w:val="32"/>
          <w:sz w:val="24"/>
          <w:szCs w:val="24"/>
        </w:rPr>
        <w:t xml:space="preserve"> </w:t>
      </w:r>
    </w:p>
    <w:p w:rsidR="00D81B0B" w:rsidRDefault="00A42ECD" w:rsidP="00A42ECD">
      <w:pPr>
        <w:pStyle w:val="ListParagraph"/>
        <w:numPr>
          <w:ilvl w:val="0"/>
          <w:numId w:val="30"/>
        </w:numPr>
        <w:spacing w:after="0" w:line="240" w:lineRule="auto"/>
        <w:contextualSpacing w:val="0"/>
        <w:rPr>
          <w:rFonts w:ascii="Times New Roman" w:hAnsi="Times New Roman" w:cs="Times New Roman"/>
          <w:kern w:val="32"/>
          <w:sz w:val="24"/>
          <w:szCs w:val="24"/>
        </w:rPr>
      </w:pPr>
      <w:r>
        <w:rPr>
          <w:rFonts w:ascii="Times New Roman" w:hAnsi="Times New Roman" w:cs="Times New Roman"/>
          <w:kern w:val="32"/>
          <w:sz w:val="24"/>
          <w:szCs w:val="24"/>
        </w:rPr>
        <w:t>T</w:t>
      </w:r>
      <w:r w:rsidR="00D81B0B" w:rsidRPr="00A42ECD">
        <w:rPr>
          <w:rFonts w:ascii="Times New Roman" w:hAnsi="Times New Roman" w:cs="Times New Roman"/>
          <w:kern w:val="32"/>
          <w:sz w:val="24"/>
          <w:szCs w:val="24"/>
        </w:rPr>
        <w:t>he instrument must be in good operational condition</w:t>
      </w:r>
      <w:r>
        <w:rPr>
          <w:rFonts w:ascii="Times New Roman" w:hAnsi="Times New Roman" w:cs="Times New Roman"/>
          <w:kern w:val="32"/>
          <w:sz w:val="24"/>
          <w:szCs w:val="24"/>
        </w:rPr>
        <w:t>.</w:t>
      </w:r>
    </w:p>
    <w:p w:rsidR="00C47FB1" w:rsidRPr="00A42ECD" w:rsidRDefault="00C47FB1" w:rsidP="00C47FB1">
      <w:pPr>
        <w:pStyle w:val="ListParagraph"/>
        <w:numPr>
          <w:ilvl w:val="0"/>
          <w:numId w:val="30"/>
        </w:numPr>
        <w:spacing w:after="0" w:line="240" w:lineRule="auto"/>
        <w:contextualSpacing w:val="0"/>
        <w:rPr>
          <w:rFonts w:ascii="Times New Roman" w:hAnsi="Times New Roman" w:cs="Times New Roman"/>
          <w:kern w:val="32"/>
        </w:rPr>
      </w:pPr>
      <w:r>
        <w:rPr>
          <w:rFonts w:ascii="Times New Roman" w:hAnsi="Times New Roman" w:cs="Times New Roman"/>
          <w:kern w:val="32"/>
        </w:rPr>
        <w:t>The instrument must be satisfactorily checked with an appropriate radiological source.</w:t>
      </w:r>
    </w:p>
    <w:p w:rsidR="00D81B0B" w:rsidRPr="00A42ECD" w:rsidRDefault="00A42ECD" w:rsidP="00A42ECD">
      <w:pPr>
        <w:pStyle w:val="ListParagraph"/>
        <w:numPr>
          <w:ilvl w:val="0"/>
          <w:numId w:val="30"/>
        </w:numPr>
        <w:spacing w:after="0" w:line="240" w:lineRule="auto"/>
        <w:contextualSpacing w:val="0"/>
        <w:rPr>
          <w:rFonts w:ascii="Times New Roman" w:hAnsi="Times New Roman" w:cs="Times New Roman"/>
          <w:kern w:val="32"/>
          <w:sz w:val="24"/>
          <w:szCs w:val="24"/>
        </w:rPr>
      </w:pPr>
      <w:r>
        <w:rPr>
          <w:rFonts w:ascii="Times New Roman" w:hAnsi="Times New Roman" w:cs="Times New Roman"/>
          <w:kern w:val="32"/>
          <w:sz w:val="24"/>
          <w:szCs w:val="24"/>
        </w:rPr>
        <w:t>T</w:t>
      </w:r>
      <w:r w:rsidR="00D81B0B" w:rsidRPr="00A42ECD">
        <w:rPr>
          <w:rFonts w:ascii="Times New Roman" w:hAnsi="Times New Roman" w:cs="Times New Roman"/>
          <w:kern w:val="32"/>
          <w:sz w:val="24"/>
          <w:szCs w:val="24"/>
        </w:rPr>
        <w:t xml:space="preserve">he monitor must use proper </w:t>
      </w:r>
      <w:r w:rsidR="00056D34" w:rsidRPr="00A42ECD">
        <w:rPr>
          <w:rFonts w:ascii="Times New Roman" w:hAnsi="Times New Roman" w:cs="Times New Roman"/>
          <w:kern w:val="32"/>
          <w:sz w:val="24"/>
          <w:szCs w:val="24"/>
        </w:rPr>
        <w:t xml:space="preserve">frisking </w:t>
      </w:r>
      <w:r w:rsidR="00D81B0B" w:rsidRPr="00A42ECD">
        <w:rPr>
          <w:rFonts w:ascii="Times New Roman" w:hAnsi="Times New Roman" w:cs="Times New Roman"/>
          <w:kern w:val="32"/>
          <w:sz w:val="24"/>
          <w:szCs w:val="24"/>
        </w:rPr>
        <w:t>techni</w:t>
      </w:r>
      <w:r w:rsidR="00056D34" w:rsidRPr="00A42ECD">
        <w:rPr>
          <w:rFonts w:ascii="Times New Roman" w:hAnsi="Times New Roman" w:cs="Times New Roman"/>
          <w:kern w:val="32"/>
          <w:sz w:val="24"/>
          <w:szCs w:val="24"/>
        </w:rPr>
        <w:t>que (appropriate probe distance and speed)</w:t>
      </w:r>
      <w:r>
        <w:rPr>
          <w:rFonts w:ascii="Times New Roman" w:hAnsi="Times New Roman" w:cs="Times New Roman"/>
          <w:kern w:val="32"/>
          <w:sz w:val="24"/>
          <w:szCs w:val="24"/>
        </w:rPr>
        <w:t>.</w:t>
      </w:r>
      <w:r w:rsidR="00566798" w:rsidRPr="00A42ECD">
        <w:rPr>
          <w:rFonts w:ascii="Times New Roman" w:hAnsi="Times New Roman" w:cs="Times New Roman"/>
          <w:kern w:val="32"/>
          <w:sz w:val="24"/>
          <w:szCs w:val="24"/>
        </w:rPr>
        <w:t xml:space="preserve"> </w:t>
      </w:r>
    </w:p>
    <w:p w:rsidR="00A42ECD" w:rsidRDefault="00A42ECD" w:rsidP="00566798">
      <w:pPr>
        <w:rPr>
          <w:kern w:val="32"/>
        </w:rPr>
      </w:pPr>
    </w:p>
    <w:p w:rsidR="00A42ECD" w:rsidRDefault="00A42ECD" w:rsidP="00A42ECD">
      <w:pPr>
        <w:spacing w:after="240"/>
        <w:rPr>
          <w:kern w:val="32"/>
        </w:rPr>
      </w:pPr>
      <w:r>
        <w:rPr>
          <w:kern w:val="32"/>
        </w:rPr>
        <w:t xml:space="preserve">The contamination levels listed on the cards are for </w:t>
      </w:r>
      <w:r w:rsidRPr="00EF7909">
        <w:rPr>
          <w:kern w:val="32"/>
          <w:u w:val="single"/>
        </w:rPr>
        <w:t>exposed</w:t>
      </w:r>
      <w:r>
        <w:rPr>
          <w:kern w:val="32"/>
        </w:rPr>
        <w:t xml:space="preserve"> skin. If the outer layer of clothing is able to be removed without cross contaminating other body parts, the Radiological Controller will tell the CRC staff monitor that the readings for the previously covered body parts are to be “as read.” “As read” means that the radiation monitors must record the levels they are actually reading on their instruments.</w:t>
      </w:r>
    </w:p>
    <w:p w:rsidR="00A42ECD" w:rsidRDefault="00A42ECD" w:rsidP="00A42ECD">
      <w:pPr>
        <w:rPr>
          <w:kern w:val="32"/>
        </w:rPr>
      </w:pPr>
      <w:r>
        <w:rPr>
          <w:kern w:val="32"/>
        </w:rPr>
        <w:t>Drill play assumes</w:t>
      </w:r>
      <w:r w:rsidRPr="00566798">
        <w:rPr>
          <w:kern w:val="32"/>
        </w:rPr>
        <w:t xml:space="preserve"> that the cards reflect actual instrument readings and are not necessarily an indication of the activity or specific isotopes on the skin.</w:t>
      </w:r>
      <w:r>
        <w:rPr>
          <w:kern w:val="32"/>
        </w:rPr>
        <w:t xml:space="preserve"> </w:t>
      </w:r>
      <w:r w:rsidRPr="00E414A1">
        <w:rPr>
          <w:kern w:val="32"/>
        </w:rPr>
        <w:t>The derivation of specific instrument readings is not important</w:t>
      </w:r>
      <w:r>
        <w:rPr>
          <w:kern w:val="32"/>
        </w:rPr>
        <w:t>,</w:t>
      </w:r>
      <w:r w:rsidRPr="00E414A1">
        <w:rPr>
          <w:kern w:val="32"/>
        </w:rPr>
        <w:t xml:space="preserve"> because the drill is designed to evaluate the performance of the monitoring staff and not the </w:t>
      </w:r>
      <w:r>
        <w:rPr>
          <w:kern w:val="32"/>
        </w:rPr>
        <w:t xml:space="preserve">accuracy of the </w:t>
      </w:r>
      <w:r w:rsidRPr="00E414A1">
        <w:rPr>
          <w:kern w:val="32"/>
        </w:rPr>
        <w:t>instrument</w:t>
      </w:r>
      <w:r>
        <w:rPr>
          <w:kern w:val="32"/>
        </w:rPr>
        <w:t>s</w:t>
      </w:r>
      <w:r w:rsidRPr="00E414A1">
        <w:rPr>
          <w:kern w:val="32"/>
        </w:rPr>
        <w:t xml:space="preserve">. </w:t>
      </w:r>
    </w:p>
    <w:p w:rsidR="00A42ECD" w:rsidRPr="00C87772" w:rsidRDefault="00A42ECD" w:rsidP="00A42ECD">
      <w:pPr>
        <w:rPr>
          <w:kern w:val="32"/>
        </w:rPr>
      </w:pPr>
    </w:p>
    <w:p w:rsidR="00A42ECD" w:rsidRDefault="00056D34" w:rsidP="00566798">
      <w:pPr>
        <w:rPr>
          <w:kern w:val="32"/>
        </w:rPr>
      </w:pPr>
      <w:r>
        <w:rPr>
          <w:kern w:val="32"/>
        </w:rPr>
        <w:t xml:space="preserve">Radiological </w:t>
      </w:r>
      <w:r w:rsidR="00A42ECD">
        <w:rPr>
          <w:kern w:val="32"/>
        </w:rPr>
        <w:t>C</w:t>
      </w:r>
      <w:r>
        <w:rPr>
          <w:kern w:val="32"/>
        </w:rPr>
        <w:t xml:space="preserve">ontrollers at the </w:t>
      </w:r>
      <w:r w:rsidR="00A42ECD">
        <w:rPr>
          <w:kern w:val="32"/>
          <w:u w:val="single"/>
        </w:rPr>
        <w:t>D</w:t>
      </w:r>
      <w:r w:rsidRPr="00E414A1">
        <w:rPr>
          <w:kern w:val="32"/>
          <w:u w:val="single"/>
        </w:rPr>
        <w:t xml:space="preserve">econtamination </w:t>
      </w:r>
      <w:r w:rsidR="00A42ECD">
        <w:rPr>
          <w:kern w:val="32"/>
          <w:u w:val="single"/>
        </w:rPr>
        <w:t>S</w:t>
      </w:r>
      <w:r w:rsidRPr="00E414A1">
        <w:rPr>
          <w:kern w:val="32"/>
          <w:u w:val="single"/>
        </w:rPr>
        <w:t>tation</w:t>
      </w:r>
      <w:r>
        <w:rPr>
          <w:kern w:val="32"/>
        </w:rPr>
        <w:t xml:space="preserve"> will observe the technique used by the decontamination team. They will need to pay close attention to the technique </w:t>
      </w:r>
      <w:r w:rsidR="000E44EB">
        <w:rPr>
          <w:kern w:val="32"/>
        </w:rPr>
        <w:t xml:space="preserve">used to decontaminate </w:t>
      </w:r>
      <w:r>
        <w:rPr>
          <w:kern w:val="32"/>
        </w:rPr>
        <w:t xml:space="preserve">specific </w:t>
      </w:r>
      <w:r w:rsidR="000E44EB">
        <w:rPr>
          <w:kern w:val="32"/>
        </w:rPr>
        <w:t xml:space="preserve">body </w:t>
      </w:r>
      <w:r>
        <w:rPr>
          <w:kern w:val="32"/>
        </w:rPr>
        <w:t xml:space="preserve">areas and </w:t>
      </w:r>
      <w:r w:rsidR="000619E8">
        <w:rPr>
          <w:kern w:val="32"/>
        </w:rPr>
        <w:t xml:space="preserve">determine </w:t>
      </w:r>
      <w:r w:rsidR="000E44EB">
        <w:rPr>
          <w:kern w:val="32"/>
        </w:rPr>
        <w:t xml:space="preserve">if </w:t>
      </w:r>
      <w:r>
        <w:rPr>
          <w:kern w:val="32"/>
        </w:rPr>
        <w:t>the contamination spread</w:t>
      </w:r>
      <w:r w:rsidR="000619E8">
        <w:rPr>
          <w:kern w:val="32"/>
        </w:rPr>
        <w:t>s</w:t>
      </w:r>
      <w:r>
        <w:rPr>
          <w:kern w:val="32"/>
        </w:rPr>
        <w:t xml:space="preserve"> to other areas. </w:t>
      </w:r>
      <w:r w:rsidR="003C3E7F">
        <w:rPr>
          <w:kern w:val="32"/>
        </w:rPr>
        <w:t>In addition to observing for proper monitoring technique, t</w:t>
      </w:r>
      <w:r>
        <w:rPr>
          <w:kern w:val="32"/>
        </w:rPr>
        <w:t xml:space="preserve">he controller </w:t>
      </w:r>
      <w:r w:rsidR="000619E8">
        <w:rPr>
          <w:kern w:val="32"/>
        </w:rPr>
        <w:t>will</w:t>
      </w:r>
      <w:r w:rsidR="0085324D">
        <w:rPr>
          <w:kern w:val="32"/>
        </w:rPr>
        <w:t xml:space="preserve"> </w:t>
      </w:r>
      <w:r w:rsidR="00A42ECD">
        <w:rPr>
          <w:kern w:val="32"/>
        </w:rPr>
        <w:t xml:space="preserve">determine and </w:t>
      </w:r>
      <w:r w:rsidR="0085324D">
        <w:rPr>
          <w:kern w:val="32"/>
        </w:rPr>
        <w:t xml:space="preserve">provide a post-decontamination reading that is reduced from </w:t>
      </w:r>
      <w:r w:rsidR="00A42ECD">
        <w:rPr>
          <w:kern w:val="32"/>
        </w:rPr>
        <w:t xml:space="preserve">the </w:t>
      </w:r>
      <w:r w:rsidR="000619E8">
        <w:rPr>
          <w:kern w:val="32"/>
        </w:rPr>
        <w:t xml:space="preserve">initial </w:t>
      </w:r>
      <w:r w:rsidR="0085324D">
        <w:rPr>
          <w:kern w:val="32"/>
        </w:rPr>
        <w:t xml:space="preserve">contamination level based </w:t>
      </w:r>
      <w:r>
        <w:rPr>
          <w:kern w:val="32"/>
        </w:rPr>
        <w:t xml:space="preserve">the effectiveness of the </w:t>
      </w:r>
      <w:r w:rsidR="0085324D">
        <w:rPr>
          <w:kern w:val="32"/>
        </w:rPr>
        <w:t xml:space="preserve">decontamination </w:t>
      </w:r>
      <w:r>
        <w:rPr>
          <w:kern w:val="32"/>
        </w:rPr>
        <w:t>technique used.</w:t>
      </w:r>
      <w:r w:rsidR="00A42ECD">
        <w:rPr>
          <w:kern w:val="32"/>
        </w:rPr>
        <w:t xml:space="preserve"> For example, a</w:t>
      </w:r>
      <w:r w:rsidR="0085324D">
        <w:rPr>
          <w:kern w:val="32"/>
        </w:rPr>
        <w:t xml:space="preserve"> </w:t>
      </w:r>
      <w:r w:rsidR="00707CC8">
        <w:rPr>
          <w:kern w:val="32"/>
        </w:rPr>
        <w:t xml:space="preserve">50% effective </w:t>
      </w:r>
      <w:r w:rsidR="0085324D">
        <w:rPr>
          <w:kern w:val="32"/>
        </w:rPr>
        <w:t xml:space="preserve">decontamination of 15,000 </w:t>
      </w:r>
      <w:r w:rsidR="00320439">
        <w:rPr>
          <w:kern w:val="32"/>
        </w:rPr>
        <w:t>counts per minute (</w:t>
      </w:r>
      <w:proofErr w:type="spellStart"/>
      <w:r w:rsidR="0085324D">
        <w:rPr>
          <w:kern w:val="32"/>
        </w:rPr>
        <w:t>cpm</w:t>
      </w:r>
      <w:proofErr w:type="spellEnd"/>
      <w:r w:rsidR="00320439">
        <w:rPr>
          <w:kern w:val="32"/>
        </w:rPr>
        <w:t>)</w:t>
      </w:r>
      <w:r w:rsidR="0085324D">
        <w:rPr>
          <w:kern w:val="32"/>
        </w:rPr>
        <w:t xml:space="preserve"> will be </w:t>
      </w:r>
      <w:r w:rsidR="00707CC8">
        <w:rPr>
          <w:kern w:val="32"/>
        </w:rPr>
        <w:t>reported</w:t>
      </w:r>
      <w:r w:rsidR="0085324D">
        <w:rPr>
          <w:kern w:val="32"/>
        </w:rPr>
        <w:t xml:space="preserve"> as 7,500 </w:t>
      </w:r>
      <w:proofErr w:type="spellStart"/>
      <w:r w:rsidR="0085324D">
        <w:rPr>
          <w:kern w:val="32"/>
        </w:rPr>
        <w:t>cpm</w:t>
      </w:r>
      <w:proofErr w:type="spellEnd"/>
      <w:r w:rsidR="0085324D">
        <w:rPr>
          <w:kern w:val="32"/>
        </w:rPr>
        <w:t>.</w:t>
      </w:r>
      <w:r w:rsidR="00055900">
        <w:rPr>
          <w:kern w:val="32"/>
        </w:rPr>
        <w:t xml:space="preserve"> </w:t>
      </w:r>
    </w:p>
    <w:p w:rsidR="00D46C0C" w:rsidRPr="00A42ECD" w:rsidRDefault="00D46C0C" w:rsidP="00A42ECD">
      <w:pPr>
        <w:pStyle w:val="Heading2"/>
        <w:rPr>
          <w:kern w:val="32"/>
          <w:sz w:val="24"/>
          <w:szCs w:val="24"/>
        </w:rPr>
      </w:pPr>
      <w:r w:rsidRPr="00A42ECD">
        <w:rPr>
          <w:kern w:val="32"/>
          <w:sz w:val="24"/>
          <w:szCs w:val="24"/>
        </w:rPr>
        <w:t>Special Situations</w:t>
      </w:r>
    </w:p>
    <w:p w:rsidR="00677FD3" w:rsidRDefault="00677FD3" w:rsidP="000D0CF4">
      <w:pPr>
        <w:rPr>
          <w:kern w:val="32"/>
        </w:rPr>
      </w:pPr>
      <w:r w:rsidRPr="00677FD3">
        <w:rPr>
          <w:kern w:val="32"/>
          <w:u w:val="single"/>
        </w:rPr>
        <w:t>Portable Radiological Portal Monitors</w:t>
      </w:r>
      <w:r w:rsidRPr="00A42ECD">
        <w:rPr>
          <w:kern w:val="32"/>
        </w:rPr>
        <w:t>:</w:t>
      </w:r>
      <w:r w:rsidR="00A42ECD" w:rsidRPr="00A42ECD">
        <w:rPr>
          <w:kern w:val="32"/>
        </w:rPr>
        <w:t xml:space="preserve"> </w:t>
      </w:r>
      <w:r>
        <w:rPr>
          <w:kern w:val="32"/>
        </w:rPr>
        <w:t>The portal monitors are very sensitive and alarm at low activities (1</w:t>
      </w:r>
      <w:r w:rsidR="00A42ECD">
        <w:rPr>
          <w:kern w:val="32"/>
        </w:rPr>
        <w:t xml:space="preserve"> µ</w:t>
      </w:r>
      <w:r>
        <w:rPr>
          <w:kern w:val="32"/>
        </w:rPr>
        <w:t>Ci of Cs-137).</w:t>
      </w:r>
      <w:r w:rsidR="00A42ECD">
        <w:rPr>
          <w:kern w:val="32"/>
        </w:rPr>
        <w:t xml:space="preserve"> </w:t>
      </w:r>
      <w:r>
        <w:rPr>
          <w:kern w:val="32"/>
        </w:rPr>
        <w:t xml:space="preserve">For the purpose of this </w:t>
      </w:r>
      <w:r w:rsidR="00A42ECD">
        <w:rPr>
          <w:kern w:val="32"/>
        </w:rPr>
        <w:t>drill</w:t>
      </w:r>
      <w:r>
        <w:rPr>
          <w:kern w:val="32"/>
        </w:rPr>
        <w:t>, any contamination noted on a card will be sufficient to set off the portal monitor.</w:t>
      </w:r>
      <w:r w:rsidR="00A42ECD">
        <w:rPr>
          <w:kern w:val="32"/>
        </w:rPr>
        <w:t xml:space="preserve"> </w:t>
      </w:r>
      <w:r>
        <w:rPr>
          <w:kern w:val="32"/>
        </w:rPr>
        <w:t>Blank cards will be reported as “as read</w:t>
      </w:r>
      <w:r w:rsidR="00A42ECD">
        <w:rPr>
          <w:kern w:val="32"/>
        </w:rPr>
        <w:t>.</w:t>
      </w:r>
      <w:r>
        <w:rPr>
          <w:kern w:val="32"/>
        </w:rPr>
        <w:t>”</w:t>
      </w:r>
    </w:p>
    <w:p w:rsidR="00677FD3" w:rsidRDefault="00677FD3" w:rsidP="000D0CF4">
      <w:pPr>
        <w:rPr>
          <w:kern w:val="32"/>
        </w:rPr>
      </w:pPr>
    </w:p>
    <w:p w:rsidR="00677FD3" w:rsidRDefault="00677FD3" w:rsidP="000D0CF4">
      <w:pPr>
        <w:rPr>
          <w:kern w:val="32"/>
        </w:rPr>
      </w:pPr>
      <w:r w:rsidRPr="00677FD3">
        <w:rPr>
          <w:kern w:val="32"/>
          <w:u w:val="single"/>
        </w:rPr>
        <w:t>Contaminated Probes</w:t>
      </w:r>
      <w:r w:rsidRPr="00A42ECD">
        <w:rPr>
          <w:kern w:val="32"/>
        </w:rPr>
        <w:t>:</w:t>
      </w:r>
      <w:r>
        <w:rPr>
          <w:kern w:val="32"/>
        </w:rPr>
        <w:t xml:space="preserve"> If a controller observes a probe </w:t>
      </w:r>
      <w:r w:rsidR="001A5CD8">
        <w:rPr>
          <w:kern w:val="32"/>
        </w:rPr>
        <w:t>getting</w:t>
      </w:r>
      <w:r>
        <w:rPr>
          <w:kern w:val="32"/>
        </w:rPr>
        <w:t xml:space="preserve"> contaminated (e.g.</w:t>
      </w:r>
      <w:r w:rsidR="00A42ECD">
        <w:rPr>
          <w:kern w:val="32"/>
        </w:rPr>
        <w:t>,</w:t>
      </w:r>
      <w:r>
        <w:rPr>
          <w:kern w:val="32"/>
        </w:rPr>
        <w:t xml:space="preserve"> </w:t>
      </w:r>
      <w:r w:rsidR="000619E8">
        <w:rPr>
          <w:kern w:val="32"/>
        </w:rPr>
        <w:t xml:space="preserve">a probe </w:t>
      </w:r>
      <w:r>
        <w:rPr>
          <w:kern w:val="32"/>
        </w:rPr>
        <w:t>touch</w:t>
      </w:r>
      <w:r w:rsidR="001A5CD8">
        <w:rPr>
          <w:kern w:val="32"/>
        </w:rPr>
        <w:t>es</w:t>
      </w:r>
      <w:r w:rsidR="000619E8">
        <w:rPr>
          <w:kern w:val="32"/>
        </w:rPr>
        <w:t xml:space="preserve"> </w:t>
      </w:r>
      <w:r>
        <w:rPr>
          <w:kern w:val="32"/>
        </w:rPr>
        <w:t xml:space="preserve">a contaminated surface), </w:t>
      </w:r>
      <w:r w:rsidR="007E3F2B">
        <w:rPr>
          <w:kern w:val="32"/>
        </w:rPr>
        <w:t xml:space="preserve">subsequent readings </w:t>
      </w:r>
      <w:r w:rsidR="000619E8">
        <w:rPr>
          <w:kern w:val="32"/>
        </w:rPr>
        <w:t xml:space="preserve">must </w:t>
      </w:r>
      <w:r w:rsidR="007E3F2B">
        <w:rPr>
          <w:kern w:val="32"/>
        </w:rPr>
        <w:t>reflect an appropriate level of contamination until the probe is replaced or decontaminated.</w:t>
      </w:r>
      <w:r w:rsidR="00A42ECD">
        <w:rPr>
          <w:kern w:val="32"/>
        </w:rPr>
        <w:t xml:space="preserve"> </w:t>
      </w:r>
      <w:r w:rsidR="007E3F2B">
        <w:rPr>
          <w:kern w:val="32"/>
        </w:rPr>
        <w:t>The recommended level of probe contamination is 10% of the contaminated surface contacted</w:t>
      </w:r>
      <w:r w:rsidR="001A5CD8">
        <w:rPr>
          <w:kern w:val="32"/>
        </w:rPr>
        <w:t xml:space="preserve"> (e.g., if the contaminated surface is 3,000 </w:t>
      </w:r>
      <w:proofErr w:type="spellStart"/>
      <w:r w:rsidR="001A5CD8">
        <w:rPr>
          <w:kern w:val="32"/>
        </w:rPr>
        <w:t>cpm</w:t>
      </w:r>
      <w:proofErr w:type="spellEnd"/>
      <w:r w:rsidR="001A5CD8">
        <w:rPr>
          <w:kern w:val="32"/>
        </w:rPr>
        <w:t xml:space="preserve">, the contamination on the probe will be 300 </w:t>
      </w:r>
      <w:proofErr w:type="spellStart"/>
      <w:r w:rsidR="001A5CD8">
        <w:rPr>
          <w:kern w:val="32"/>
        </w:rPr>
        <w:t>cpm</w:t>
      </w:r>
      <w:proofErr w:type="spellEnd"/>
      <w:r w:rsidR="001A5CD8">
        <w:rPr>
          <w:kern w:val="32"/>
        </w:rPr>
        <w:t>, and that becomes the new background reading for the probe)</w:t>
      </w:r>
      <w:r w:rsidR="007E3F2B">
        <w:rPr>
          <w:kern w:val="32"/>
        </w:rPr>
        <w:t>.</w:t>
      </w:r>
      <w:r w:rsidR="001A5CD8">
        <w:rPr>
          <w:kern w:val="32"/>
        </w:rPr>
        <w:t xml:space="preserve"> </w:t>
      </w:r>
      <w:r w:rsidR="007E3F2B">
        <w:rPr>
          <w:kern w:val="32"/>
        </w:rPr>
        <w:t xml:space="preserve"> </w:t>
      </w:r>
    </w:p>
    <w:p w:rsidR="00677FD3" w:rsidRDefault="00677FD3" w:rsidP="000D0CF4">
      <w:pPr>
        <w:rPr>
          <w:kern w:val="32"/>
        </w:rPr>
      </w:pPr>
    </w:p>
    <w:p w:rsidR="00677FD3" w:rsidRDefault="00677FD3" w:rsidP="000D0CF4">
      <w:pPr>
        <w:rPr>
          <w:kern w:val="32"/>
        </w:rPr>
      </w:pPr>
      <w:r w:rsidRPr="00961418">
        <w:rPr>
          <w:kern w:val="32"/>
          <w:u w:val="single"/>
        </w:rPr>
        <w:t>Incorrect Scale</w:t>
      </w:r>
      <w:r w:rsidRPr="00A42ECD">
        <w:rPr>
          <w:kern w:val="32"/>
        </w:rPr>
        <w:t>:</w:t>
      </w:r>
      <w:r w:rsidR="007E3F2B">
        <w:rPr>
          <w:kern w:val="32"/>
        </w:rPr>
        <w:t xml:space="preserve"> For instruments that are not self-scaling, the controller will give a reading of “off-scale” for scales that are below the contamination level. </w:t>
      </w:r>
      <w:r w:rsidR="00EB68CD">
        <w:rPr>
          <w:kern w:val="32"/>
        </w:rPr>
        <w:t xml:space="preserve">For example, </w:t>
      </w:r>
      <w:r w:rsidR="007E3F2B">
        <w:rPr>
          <w:kern w:val="32"/>
        </w:rPr>
        <w:t xml:space="preserve">a contamination level of 15,000 </w:t>
      </w:r>
      <w:proofErr w:type="spellStart"/>
      <w:r w:rsidR="007E3F2B">
        <w:rPr>
          <w:kern w:val="32"/>
        </w:rPr>
        <w:t>cpm</w:t>
      </w:r>
      <w:proofErr w:type="spellEnd"/>
      <w:r w:rsidR="007E3F2B">
        <w:rPr>
          <w:kern w:val="32"/>
        </w:rPr>
        <w:t xml:space="preserve"> will be reported as “off-scale” for a scale of 100 to 1</w:t>
      </w:r>
      <w:r w:rsidR="00B617AF">
        <w:rPr>
          <w:kern w:val="32"/>
        </w:rPr>
        <w:t>,</w:t>
      </w:r>
      <w:r w:rsidR="007E3F2B">
        <w:rPr>
          <w:kern w:val="32"/>
        </w:rPr>
        <w:t xml:space="preserve">000 </w:t>
      </w:r>
      <w:proofErr w:type="spellStart"/>
      <w:r w:rsidR="007E3F2B">
        <w:rPr>
          <w:kern w:val="32"/>
        </w:rPr>
        <w:t>cpm</w:t>
      </w:r>
      <w:proofErr w:type="spellEnd"/>
      <w:r w:rsidR="007E3F2B">
        <w:rPr>
          <w:kern w:val="32"/>
        </w:rPr>
        <w:t>.</w:t>
      </w:r>
      <w:r w:rsidR="00A42ECD">
        <w:rPr>
          <w:kern w:val="32"/>
        </w:rPr>
        <w:t xml:space="preserve"> </w:t>
      </w:r>
      <w:r w:rsidR="007E3F2B">
        <w:rPr>
          <w:kern w:val="32"/>
        </w:rPr>
        <w:t>For scales that are above the contamination level</w:t>
      </w:r>
      <w:r w:rsidR="000619E8">
        <w:rPr>
          <w:kern w:val="32"/>
        </w:rPr>
        <w:t>,</w:t>
      </w:r>
      <w:r w:rsidR="007E3F2B">
        <w:rPr>
          <w:kern w:val="32"/>
        </w:rPr>
        <w:t xml:space="preserve"> the reading will be reported as “as-read</w:t>
      </w:r>
      <w:r w:rsidR="00EB68CD">
        <w:rPr>
          <w:kern w:val="32"/>
        </w:rPr>
        <w:t>.</w:t>
      </w:r>
      <w:r w:rsidR="007E3F2B">
        <w:rPr>
          <w:kern w:val="32"/>
        </w:rPr>
        <w:t>”</w:t>
      </w:r>
      <w:r w:rsidR="00EB68CD">
        <w:rPr>
          <w:kern w:val="32"/>
        </w:rPr>
        <w:t xml:space="preserve"> For example,</w:t>
      </w:r>
      <w:r w:rsidR="007E3F2B">
        <w:rPr>
          <w:kern w:val="32"/>
        </w:rPr>
        <w:t xml:space="preserve"> a contamination level of 50 </w:t>
      </w:r>
      <w:proofErr w:type="spellStart"/>
      <w:r w:rsidR="007E3F2B">
        <w:rPr>
          <w:kern w:val="32"/>
        </w:rPr>
        <w:t>cpm</w:t>
      </w:r>
      <w:proofErr w:type="spellEnd"/>
      <w:r w:rsidR="007E3F2B">
        <w:rPr>
          <w:kern w:val="32"/>
        </w:rPr>
        <w:t xml:space="preserve"> will be reported as “</w:t>
      </w:r>
      <w:r w:rsidR="000619E8">
        <w:rPr>
          <w:kern w:val="32"/>
        </w:rPr>
        <w:t>as-read</w:t>
      </w:r>
      <w:r w:rsidR="007E3F2B">
        <w:rPr>
          <w:kern w:val="32"/>
        </w:rPr>
        <w:t xml:space="preserve">” for a scale of 100 to 1000 </w:t>
      </w:r>
      <w:proofErr w:type="spellStart"/>
      <w:r w:rsidR="007E3F2B">
        <w:rPr>
          <w:kern w:val="32"/>
        </w:rPr>
        <w:t>cpm</w:t>
      </w:r>
      <w:proofErr w:type="spellEnd"/>
      <w:r w:rsidR="007E3F2B">
        <w:rPr>
          <w:kern w:val="32"/>
        </w:rPr>
        <w:t>.</w:t>
      </w:r>
      <w:r w:rsidR="00A42ECD">
        <w:rPr>
          <w:kern w:val="32"/>
        </w:rPr>
        <w:t xml:space="preserve"> </w:t>
      </w:r>
    </w:p>
    <w:p w:rsidR="00677FD3" w:rsidRDefault="00677FD3" w:rsidP="000D0CF4">
      <w:pPr>
        <w:rPr>
          <w:kern w:val="32"/>
        </w:rPr>
      </w:pPr>
    </w:p>
    <w:p w:rsidR="008D244C" w:rsidRDefault="00677FD3" w:rsidP="009B74CD">
      <w:pPr>
        <w:rPr>
          <w:kern w:val="32"/>
        </w:rPr>
      </w:pPr>
      <w:r w:rsidRPr="00F25BE1">
        <w:rPr>
          <w:kern w:val="32"/>
          <w:u w:val="single"/>
        </w:rPr>
        <w:t>Defective Instrument</w:t>
      </w:r>
      <w:r w:rsidRPr="00EB68CD">
        <w:rPr>
          <w:kern w:val="32"/>
        </w:rPr>
        <w:t>:</w:t>
      </w:r>
      <w:r w:rsidR="007E3F2B">
        <w:rPr>
          <w:kern w:val="32"/>
        </w:rPr>
        <w:t xml:space="preserve"> Controllers will report readings from defective or turned-off instruments as “as-read</w:t>
      </w:r>
      <w:r w:rsidR="00EB68CD">
        <w:rPr>
          <w:kern w:val="32"/>
        </w:rPr>
        <w:t>.</w:t>
      </w:r>
      <w:r w:rsidR="007E3F2B">
        <w:rPr>
          <w:kern w:val="32"/>
        </w:rPr>
        <w:t>”</w:t>
      </w:r>
      <w:r w:rsidR="00C47FB1">
        <w:rPr>
          <w:kern w:val="32"/>
        </w:rPr>
        <w:t xml:space="preserve"> Defective instruments include those that have failed radiological source checks.</w:t>
      </w:r>
      <w:r w:rsidR="008D244C">
        <w:rPr>
          <w:kern w:val="32"/>
        </w:rPr>
        <w:br w:type="page"/>
      </w:r>
    </w:p>
    <w:p w:rsidR="00CB71DD" w:rsidRDefault="00CB71DD" w:rsidP="00CB71DD">
      <w:pPr>
        <w:pStyle w:val="Appendixtitle"/>
      </w:pPr>
      <w:r>
        <w:lastRenderedPageBreak/>
        <w:t>Appendix A:</w:t>
      </w:r>
      <w:r w:rsidR="00055900">
        <w:t xml:space="preserve"> </w:t>
      </w:r>
      <w:r>
        <w:t>Example</w:t>
      </w:r>
      <w:r w:rsidR="00EE75EE">
        <w:t>s</w:t>
      </w:r>
      <w:r w:rsidR="001A24B9">
        <w:t xml:space="preserve"> of Actor Cards</w:t>
      </w:r>
    </w:p>
    <w:p w:rsidR="00763E67" w:rsidRPr="004175E2" w:rsidRDefault="00EE75EE" w:rsidP="00CB71DD">
      <w:pPr>
        <w:rPr>
          <w:color w:val="000000" w:themeColor="text1"/>
          <w:kern w:val="32"/>
        </w:rPr>
      </w:pPr>
      <w:r w:rsidRPr="004175E2">
        <w:rPr>
          <w:color w:val="000000" w:themeColor="text1"/>
          <w:kern w:val="32"/>
        </w:rPr>
        <w:t xml:space="preserve">Actor Cards provide </w:t>
      </w:r>
      <w:r w:rsidR="000C2B31">
        <w:rPr>
          <w:color w:val="000000" w:themeColor="text1"/>
          <w:kern w:val="32"/>
        </w:rPr>
        <w:t xml:space="preserve">all of </w:t>
      </w:r>
      <w:r w:rsidRPr="004175E2">
        <w:rPr>
          <w:color w:val="000000" w:themeColor="text1"/>
          <w:kern w:val="32"/>
        </w:rPr>
        <w:t xml:space="preserve">the </w:t>
      </w:r>
      <w:r w:rsidRPr="004175E2">
        <w:rPr>
          <w:i/>
          <w:color w:val="000000" w:themeColor="text1"/>
          <w:kern w:val="32"/>
        </w:rPr>
        <w:t>non-radiological</w:t>
      </w:r>
      <w:r w:rsidRPr="004175E2">
        <w:rPr>
          <w:color w:val="000000" w:themeColor="text1"/>
          <w:kern w:val="32"/>
        </w:rPr>
        <w:t xml:space="preserve"> information about individuals presenting at the CRC. This includes basic demographics and other relevant characteristics, a</w:t>
      </w:r>
      <w:r w:rsidR="00763E67" w:rsidRPr="004175E2">
        <w:rPr>
          <w:color w:val="000000" w:themeColor="text1"/>
          <w:kern w:val="32"/>
        </w:rPr>
        <w:t>s well as a</w:t>
      </w:r>
      <w:r w:rsidRPr="004175E2">
        <w:rPr>
          <w:color w:val="000000" w:themeColor="text1"/>
          <w:kern w:val="32"/>
        </w:rPr>
        <w:t xml:space="preserve">ny </w:t>
      </w:r>
      <w:r w:rsidR="00763E67" w:rsidRPr="004175E2">
        <w:rPr>
          <w:color w:val="000000" w:themeColor="text1"/>
          <w:kern w:val="32"/>
        </w:rPr>
        <w:t xml:space="preserve">behaviors, </w:t>
      </w:r>
      <w:r w:rsidRPr="004175E2">
        <w:rPr>
          <w:color w:val="000000" w:themeColor="text1"/>
          <w:kern w:val="32"/>
        </w:rPr>
        <w:t>signs</w:t>
      </w:r>
      <w:r w:rsidR="00763E67" w:rsidRPr="004175E2">
        <w:rPr>
          <w:color w:val="000000" w:themeColor="text1"/>
          <w:kern w:val="32"/>
        </w:rPr>
        <w:t xml:space="preserve"> or </w:t>
      </w:r>
      <w:r w:rsidRPr="004175E2">
        <w:rPr>
          <w:color w:val="000000" w:themeColor="text1"/>
          <w:kern w:val="32"/>
        </w:rPr>
        <w:t xml:space="preserve">symptoms </w:t>
      </w:r>
      <w:r w:rsidR="00763E67" w:rsidRPr="004175E2">
        <w:rPr>
          <w:color w:val="000000" w:themeColor="text1"/>
          <w:kern w:val="32"/>
        </w:rPr>
        <w:t>taking place. The Actor Card provides an Actor with all the information he or she needs to play the role of someone going through the CRC, except for the radiological contamination data.</w:t>
      </w:r>
    </w:p>
    <w:p w:rsidR="00763E67" w:rsidRPr="004175E2" w:rsidRDefault="00763E67" w:rsidP="00CB71DD">
      <w:pPr>
        <w:rPr>
          <w:color w:val="FF0000"/>
          <w:kern w:val="32"/>
        </w:rPr>
      </w:pPr>
    </w:p>
    <w:p w:rsidR="001A24B9" w:rsidRPr="004175E2" w:rsidRDefault="00633B94" w:rsidP="000C2B31">
      <w:pPr>
        <w:shd w:val="clear" w:color="auto" w:fill="FFFFFF"/>
        <w:spacing w:after="120"/>
        <w:ind w:left="720" w:hanging="720"/>
        <w:jc w:val="center"/>
        <w:rPr>
          <w:color w:val="000000" w:themeColor="text1"/>
        </w:rPr>
      </w:pPr>
      <w:r>
        <w:rPr>
          <w:noProof/>
          <w:color w:val="000000" w:themeColor="text1"/>
        </w:rPr>
        <w:pict>
          <v:oval id="_x0000_s1039" style="position:absolute;left:0;text-align:left;margin-left:191.35pt;margin-top:132.6pt;width:25.45pt;height:22.95pt;z-index:2517012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8D37CE" w:rsidRPr="00B52472" w:rsidRDefault="008D37CE" w:rsidP="008D37CE">
                  <w:pPr>
                    <w:jc w:val="center"/>
                    <w:rPr>
                      <w:color w:val="000000" w:themeColor="text1"/>
                      <w:sz w:val="16"/>
                      <w:szCs w:val="16"/>
                    </w:rPr>
                  </w:pPr>
                  <w:r>
                    <w:rPr>
                      <w:color w:val="000000" w:themeColor="text1"/>
                      <w:sz w:val="16"/>
                      <w:szCs w:val="16"/>
                    </w:rPr>
                    <w:t>3</w:t>
                  </w:r>
                </w:p>
              </w:txbxContent>
            </v:textbox>
          </v:oval>
        </w:pict>
      </w:r>
      <w:r>
        <w:rPr>
          <w:noProof/>
          <w:color w:val="000000" w:themeColor="text1"/>
        </w:rPr>
        <w:pict>
          <v:oval id="_x0000_s1038" style="position:absolute;left:0;text-align:left;margin-left:185.25pt;margin-top:56.75pt;width:25.45pt;height:22.95pt;z-index:2517002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8D37CE" w:rsidRPr="00B52472" w:rsidRDefault="008D37CE" w:rsidP="008D37CE">
                  <w:pPr>
                    <w:jc w:val="center"/>
                    <w:rPr>
                      <w:color w:val="000000" w:themeColor="text1"/>
                      <w:sz w:val="16"/>
                      <w:szCs w:val="16"/>
                    </w:rPr>
                  </w:pPr>
                  <w:r>
                    <w:rPr>
                      <w:color w:val="000000" w:themeColor="text1"/>
                      <w:sz w:val="16"/>
                      <w:szCs w:val="16"/>
                    </w:rPr>
                    <w:t>2</w:t>
                  </w:r>
                </w:p>
              </w:txbxContent>
            </v:textbox>
          </v:oval>
        </w:pict>
      </w:r>
      <w:r>
        <w:rPr>
          <w:noProof/>
          <w:color w:val="000000" w:themeColor="text1"/>
        </w:rPr>
        <w:pict>
          <v:oval id="_x0000_s1037" style="position:absolute;left:0;text-align:left;margin-left:150.05pt;margin-top:29.85pt;width:25.45pt;height:22.95pt;z-index:251699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8D37CE" w:rsidRPr="00B52472" w:rsidRDefault="008D37CE" w:rsidP="008D37CE">
                  <w:pPr>
                    <w:jc w:val="center"/>
                    <w:rPr>
                      <w:color w:val="000000" w:themeColor="text1"/>
                      <w:sz w:val="16"/>
                      <w:szCs w:val="16"/>
                    </w:rPr>
                  </w:pPr>
                  <w:r w:rsidRPr="00B52472">
                    <w:rPr>
                      <w:color w:val="000000" w:themeColor="text1"/>
                      <w:sz w:val="16"/>
                      <w:szCs w:val="16"/>
                    </w:rPr>
                    <w:t>1</w:t>
                  </w:r>
                </w:p>
              </w:txbxContent>
            </v:textbox>
          </v:oval>
        </w:pict>
      </w:r>
      <w:r>
        <w:rPr>
          <w:noProof/>
          <w:color w:val="000000" w:themeColor="text1"/>
        </w:rPr>
        <w:pict>
          <v:oval id="_x0000_s1040" style="position:absolute;left:0;text-align:left;margin-left:357.8pt;margin-top:33.8pt;width:25.45pt;height:22.95pt;z-index:2517022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8D37CE" w:rsidRPr="00B52472" w:rsidRDefault="008D37CE" w:rsidP="008D37CE">
                  <w:pPr>
                    <w:jc w:val="center"/>
                    <w:rPr>
                      <w:color w:val="000000" w:themeColor="text1"/>
                      <w:sz w:val="16"/>
                      <w:szCs w:val="16"/>
                    </w:rPr>
                  </w:pPr>
                  <w:r>
                    <w:rPr>
                      <w:color w:val="000000" w:themeColor="text1"/>
                      <w:sz w:val="16"/>
                      <w:szCs w:val="16"/>
                    </w:rPr>
                    <w:t>4</w:t>
                  </w:r>
                </w:p>
              </w:txbxContent>
            </v:textbox>
          </v:oval>
        </w:pict>
      </w:r>
      <w:r w:rsidR="000C2B31">
        <w:rPr>
          <w:noProof/>
          <w:color w:val="FF0000"/>
          <w:kern w:val="32"/>
        </w:rPr>
        <w:drawing>
          <wp:inline distT="0" distB="0" distL="0" distR="0">
            <wp:extent cx="4453128" cy="3039694"/>
            <wp:effectExtent l="19050" t="19050" r="23622" b="27356"/>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3128" cy="3039694"/>
                    </a:xfrm>
                    <a:prstGeom prst="rect">
                      <a:avLst/>
                    </a:prstGeom>
                    <a:noFill/>
                    <a:ln>
                      <a:solidFill>
                        <a:schemeClr val="tx1"/>
                      </a:solidFill>
                    </a:ln>
                  </pic:spPr>
                </pic:pic>
              </a:graphicData>
            </a:graphic>
          </wp:inline>
        </w:drawing>
      </w:r>
    </w:p>
    <w:p w:rsidR="00CB71DD" w:rsidRDefault="00CB71DD" w:rsidP="001E5D25">
      <w:pPr>
        <w:jc w:val="center"/>
        <w:rPr>
          <w:color w:val="FF0000"/>
          <w:kern w:val="32"/>
        </w:rPr>
      </w:pPr>
    </w:p>
    <w:p w:rsidR="00CB71DD" w:rsidRDefault="00CB71DD" w:rsidP="001E5D25">
      <w:pPr>
        <w:jc w:val="center"/>
        <w:rPr>
          <w:color w:val="FF0000"/>
          <w:kern w:val="32"/>
        </w:rPr>
      </w:pPr>
      <w:r>
        <w:rPr>
          <w:noProof/>
          <w:color w:val="FF0000"/>
          <w:kern w:val="32"/>
        </w:rPr>
        <w:drawing>
          <wp:inline distT="0" distB="0" distL="0" distR="0">
            <wp:extent cx="4451047" cy="3332602"/>
            <wp:effectExtent l="19050" t="19050" r="26035" b="203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2633" cy="3333789"/>
                    </a:xfrm>
                    <a:prstGeom prst="rect">
                      <a:avLst/>
                    </a:prstGeom>
                    <a:noFill/>
                    <a:ln>
                      <a:solidFill>
                        <a:schemeClr val="tx1"/>
                      </a:solidFill>
                    </a:ln>
                  </pic:spPr>
                </pic:pic>
              </a:graphicData>
            </a:graphic>
          </wp:inline>
        </w:drawing>
      </w:r>
    </w:p>
    <w:p w:rsidR="00CB71DD" w:rsidRDefault="00CB71DD" w:rsidP="00CB71DD">
      <w:pPr>
        <w:rPr>
          <w:color w:val="FF0000"/>
          <w:kern w:val="32"/>
        </w:rPr>
      </w:pPr>
    </w:p>
    <w:p w:rsidR="000C2B31" w:rsidRPr="004175E2" w:rsidRDefault="000C2B31" w:rsidP="000C2B31">
      <w:pPr>
        <w:shd w:val="clear" w:color="auto" w:fill="FFFFFF"/>
        <w:rPr>
          <w:b/>
          <w:color w:val="000000" w:themeColor="text1"/>
        </w:rPr>
      </w:pPr>
      <w:r w:rsidRPr="004175E2">
        <w:rPr>
          <w:b/>
          <w:color w:val="000000" w:themeColor="text1"/>
        </w:rPr>
        <w:lastRenderedPageBreak/>
        <w:t>Front of Actor Card</w:t>
      </w:r>
    </w:p>
    <w:p w:rsidR="000C2B31" w:rsidRPr="004175E2" w:rsidRDefault="000C2B31" w:rsidP="000C2B31">
      <w:pPr>
        <w:shd w:val="clear" w:color="auto" w:fill="FFFFFF"/>
        <w:rPr>
          <w:color w:val="000000" w:themeColor="text1"/>
        </w:rPr>
      </w:pPr>
    </w:p>
    <w:p w:rsidR="000C2B31" w:rsidRPr="004175E2" w:rsidRDefault="000C2B31" w:rsidP="000C2B31">
      <w:pPr>
        <w:pStyle w:val="ListParagraph"/>
        <w:numPr>
          <w:ilvl w:val="0"/>
          <w:numId w:val="22"/>
        </w:numPr>
        <w:shd w:val="clear" w:color="auto" w:fill="FFFFFF"/>
        <w:spacing w:after="0" w:line="240" w:lineRule="auto"/>
        <w:ind w:left="360"/>
        <w:rPr>
          <w:rFonts w:ascii="Times New Roman" w:eastAsia="Times New Roman" w:hAnsi="Times New Roman" w:cs="Times New Roman"/>
          <w:color w:val="000000" w:themeColor="text1"/>
          <w:sz w:val="24"/>
          <w:szCs w:val="24"/>
        </w:rPr>
      </w:pPr>
      <w:r w:rsidRPr="004175E2">
        <w:rPr>
          <w:rFonts w:ascii="Times New Roman" w:eastAsia="Times New Roman" w:hAnsi="Times New Roman" w:cs="Times New Roman"/>
          <w:color w:val="000000" w:themeColor="text1"/>
          <w:sz w:val="24"/>
          <w:szCs w:val="24"/>
        </w:rPr>
        <w:t>The first section provides the number of the card (from 1 to 105). The cards provided in the Toolkit are numbered, and an Excel spreadsheet provides an index to allow the drill planners to select specific cards if they do not plan to use the entire card set, or if they wish to re-use specific types of card.</w:t>
      </w:r>
    </w:p>
    <w:p w:rsidR="000C2B31" w:rsidRPr="004175E2" w:rsidRDefault="000C2B31" w:rsidP="000C2B31">
      <w:pPr>
        <w:pStyle w:val="ListParagraph"/>
        <w:shd w:val="clear" w:color="auto" w:fill="FFFFFF"/>
        <w:spacing w:after="0" w:line="240" w:lineRule="auto"/>
        <w:ind w:left="360"/>
        <w:rPr>
          <w:rFonts w:ascii="Times New Roman" w:eastAsia="Times New Roman" w:hAnsi="Times New Roman" w:cs="Times New Roman"/>
          <w:color w:val="000000" w:themeColor="text1"/>
          <w:sz w:val="24"/>
          <w:szCs w:val="24"/>
        </w:rPr>
      </w:pPr>
    </w:p>
    <w:p w:rsidR="000C2B31" w:rsidRPr="004175E2" w:rsidRDefault="000C2B31" w:rsidP="000C2B31">
      <w:pPr>
        <w:pStyle w:val="ListParagraph"/>
        <w:numPr>
          <w:ilvl w:val="0"/>
          <w:numId w:val="22"/>
        </w:numPr>
        <w:shd w:val="clear" w:color="auto" w:fill="FFFFFF"/>
        <w:spacing w:after="0" w:line="240" w:lineRule="auto"/>
        <w:ind w:left="360"/>
        <w:rPr>
          <w:rFonts w:ascii="Times New Roman" w:hAnsi="Times New Roman" w:cs="Times New Roman"/>
          <w:color w:val="000000" w:themeColor="text1"/>
          <w:sz w:val="24"/>
          <w:szCs w:val="24"/>
        </w:rPr>
      </w:pPr>
      <w:r w:rsidRPr="004175E2">
        <w:rPr>
          <w:rFonts w:ascii="Times New Roman" w:eastAsia="Times New Roman" w:hAnsi="Times New Roman" w:cs="Times New Roman"/>
          <w:color w:val="000000" w:themeColor="text1"/>
          <w:sz w:val="24"/>
          <w:szCs w:val="24"/>
        </w:rPr>
        <w:t>The second section furnishes basic demographic details such as the person’s age and gender, as well as any other relevant information (e.g., that the person is hearing-impaired).</w:t>
      </w:r>
    </w:p>
    <w:p w:rsidR="000C2B31" w:rsidRPr="004175E2" w:rsidRDefault="000C2B31" w:rsidP="000C2B31">
      <w:pPr>
        <w:pStyle w:val="ListParagraph"/>
        <w:shd w:val="clear" w:color="auto" w:fill="FFFFFF"/>
        <w:spacing w:after="0" w:line="240" w:lineRule="auto"/>
        <w:ind w:left="360"/>
        <w:rPr>
          <w:rFonts w:ascii="Times New Roman" w:hAnsi="Times New Roman" w:cs="Times New Roman"/>
          <w:color w:val="000000" w:themeColor="text1"/>
          <w:sz w:val="24"/>
          <w:szCs w:val="24"/>
        </w:rPr>
      </w:pPr>
    </w:p>
    <w:p w:rsidR="000C2B31" w:rsidRPr="004175E2" w:rsidRDefault="000C2B31" w:rsidP="000C2B31">
      <w:pPr>
        <w:pStyle w:val="ListParagraph"/>
        <w:numPr>
          <w:ilvl w:val="0"/>
          <w:numId w:val="22"/>
        </w:numPr>
        <w:shd w:val="clear" w:color="auto" w:fill="FFFFFF"/>
        <w:spacing w:after="0" w:line="240" w:lineRule="auto"/>
        <w:ind w:left="360"/>
        <w:rPr>
          <w:rFonts w:ascii="Times New Roman" w:hAnsi="Times New Roman" w:cs="Times New Roman"/>
          <w:color w:val="000000" w:themeColor="text1"/>
          <w:sz w:val="24"/>
          <w:szCs w:val="24"/>
        </w:rPr>
      </w:pPr>
      <w:r w:rsidRPr="004175E2">
        <w:rPr>
          <w:rFonts w:ascii="Times New Roman" w:eastAsia="Times New Roman" w:hAnsi="Times New Roman" w:cs="Times New Roman"/>
          <w:color w:val="000000" w:themeColor="text1"/>
          <w:sz w:val="24"/>
          <w:szCs w:val="24"/>
        </w:rPr>
        <w:t>The third section indicates whether the person is experiencing any unusual signs, symptoms</w:t>
      </w:r>
      <w:r>
        <w:rPr>
          <w:rFonts w:ascii="Times New Roman" w:eastAsia="Times New Roman" w:hAnsi="Times New Roman" w:cs="Times New Roman"/>
          <w:color w:val="000000" w:themeColor="text1"/>
          <w:sz w:val="24"/>
          <w:szCs w:val="24"/>
        </w:rPr>
        <w:t>,</w:t>
      </w:r>
      <w:r w:rsidRPr="004175E2">
        <w:rPr>
          <w:rFonts w:ascii="Times New Roman" w:eastAsia="Times New Roman" w:hAnsi="Times New Roman" w:cs="Times New Roman"/>
          <w:color w:val="000000" w:themeColor="text1"/>
          <w:sz w:val="24"/>
          <w:szCs w:val="24"/>
        </w:rPr>
        <w:t xml:space="preserve"> or behaviors</w:t>
      </w:r>
      <w:r>
        <w:rPr>
          <w:rFonts w:ascii="Times New Roman" w:eastAsia="Times New Roman" w:hAnsi="Times New Roman" w:cs="Times New Roman"/>
          <w:color w:val="000000" w:themeColor="text1"/>
          <w:sz w:val="24"/>
          <w:szCs w:val="24"/>
        </w:rPr>
        <w:t>.</w:t>
      </w:r>
    </w:p>
    <w:p w:rsidR="000C2B31" w:rsidRPr="004175E2" w:rsidRDefault="000C2B31" w:rsidP="000C2B31">
      <w:pPr>
        <w:shd w:val="clear" w:color="auto" w:fill="FFFFFF"/>
        <w:rPr>
          <w:b/>
          <w:color w:val="000000" w:themeColor="text1"/>
        </w:rPr>
      </w:pPr>
    </w:p>
    <w:p w:rsidR="000C2B31" w:rsidRPr="004175E2" w:rsidRDefault="000C2B31" w:rsidP="000C2B31">
      <w:pPr>
        <w:shd w:val="clear" w:color="auto" w:fill="FFFFFF"/>
        <w:rPr>
          <w:b/>
          <w:color w:val="000000" w:themeColor="text1"/>
        </w:rPr>
      </w:pPr>
      <w:r w:rsidRPr="004175E2">
        <w:rPr>
          <w:b/>
          <w:color w:val="000000" w:themeColor="text1"/>
        </w:rPr>
        <w:t>Back of Actor Card</w:t>
      </w:r>
    </w:p>
    <w:p w:rsidR="000C2B31" w:rsidRPr="004175E2" w:rsidRDefault="000C2B31" w:rsidP="000C2B31">
      <w:pPr>
        <w:shd w:val="clear" w:color="auto" w:fill="FFFFFF"/>
        <w:rPr>
          <w:b/>
          <w:color w:val="000000" w:themeColor="text1"/>
        </w:rPr>
      </w:pPr>
    </w:p>
    <w:p w:rsidR="000C2B31" w:rsidRPr="004175E2" w:rsidRDefault="000C2B31" w:rsidP="000C2B31">
      <w:pPr>
        <w:pStyle w:val="ListParagraph"/>
        <w:numPr>
          <w:ilvl w:val="0"/>
          <w:numId w:val="22"/>
        </w:numPr>
        <w:shd w:val="clear" w:color="auto" w:fill="FFFFFF"/>
        <w:spacing w:after="0" w:line="240" w:lineRule="auto"/>
        <w:ind w:left="360"/>
        <w:contextualSpacing w:val="0"/>
        <w:rPr>
          <w:rFonts w:ascii="Times New Roman" w:hAnsi="Times New Roman" w:cs="Times New Roman"/>
          <w:color w:val="000000" w:themeColor="text1"/>
          <w:sz w:val="24"/>
          <w:szCs w:val="24"/>
        </w:rPr>
      </w:pPr>
      <w:r w:rsidRPr="004175E2">
        <w:rPr>
          <w:rFonts w:ascii="Times New Roman" w:hAnsi="Times New Roman" w:cs="Times New Roman"/>
          <w:color w:val="000000" w:themeColor="text1"/>
          <w:sz w:val="24"/>
          <w:szCs w:val="24"/>
        </w:rPr>
        <w:t>The back side of the Actor Card provides the person playing the role with detailed information on how to behave, what to say, how to interact with drill participants, etc.</w:t>
      </w:r>
    </w:p>
    <w:p w:rsidR="00A73B93" w:rsidRDefault="00A73B93" w:rsidP="000D0CF4">
      <w:pPr>
        <w:rPr>
          <w:kern w:val="32"/>
        </w:rPr>
      </w:pPr>
    </w:p>
    <w:p w:rsidR="00A73B93" w:rsidRDefault="00A73B93" w:rsidP="000D0CF4">
      <w:pPr>
        <w:rPr>
          <w:kern w:val="32"/>
        </w:rPr>
      </w:pPr>
    </w:p>
    <w:p w:rsidR="00A73B93" w:rsidRDefault="00A73B93" w:rsidP="000D0CF4">
      <w:pPr>
        <w:rPr>
          <w:kern w:val="32"/>
        </w:rPr>
      </w:pPr>
    </w:p>
    <w:p w:rsidR="00A73B93" w:rsidRDefault="00A73B93" w:rsidP="000D0CF4">
      <w:pPr>
        <w:rPr>
          <w:kern w:val="32"/>
        </w:rPr>
      </w:pPr>
    </w:p>
    <w:p w:rsidR="00A73B93" w:rsidRDefault="00A73B93" w:rsidP="000D0CF4">
      <w:pPr>
        <w:rPr>
          <w:kern w:val="32"/>
        </w:rPr>
      </w:pPr>
    </w:p>
    <w:p w:rsidR="00A73B93" w:rsidRDefault="00A73B93" w:rsidP="000D0CF4">
      <w:pPr>
        <w:rPr>
          <w:kern w:val="32"/>
        </w:rPr>
      </w:pPr>
    </w:p>
    <w:p w:rsidR="00A73B93" w:rsidRDefault="00A73B93" w:rsidP="000D0CF4">
      <w:pPr>
        <w:rPr>
          <w:kern w:val="32"/>
        </w:rPr>
      </w:pPr>
    </w:p>
    <w:p w:rsidR="00A73B93" w:rsidRDefault="00A73B93" w:rsidP="000D0CF4">
      <w:pPr>
        <w:rPr>
          <w:kern w:val="32"/>
        </w:rPr>
      </w:pPr>
    </w:p>
    <w:p w:rsidR="00A73B93" w:rsidRDefault="00A73B93" w:rsidP="000D0CF4">
      <w:pPr>
        <w:rPr>
          <w:kern w:val="32"/>
        </w:rPr>
      </w:pPr>
    </w:p>
    <w:p w:rsidR="00EB68CD" w:rsidRDefault="00EB68CD" w:rsidP="000D0CF4">
      <w:pPr>
        <w:rPr>
          <w:kern w:val="32"/>
        </w:rPr>
        <w:sectPr w:rsidR="00EB68CD" w:rsidSect="00707CC8">
          <w:footerReference w:type="default" r:id="rId13"/>
          <w:pgSz w:w="12240" w:h="15840" w:code="1"/>
          <w:pgMar w:top="1440" w:right="1440" w:bottom="1260" w:left="1440" w:header="720" w:footer="720" w:gutter="0"/>
          <w:cols w:space="720"/>
          <w:docGrid w:linePitch="360"/>
        </w:sectPr>
      </w:pPr>
    </w:p>
    <w:p w:rsidR="00EB68CD" w:rsidRDefault="00EB68CD" w:rsidP="00EB68CD">
      <w:pPr>
        <w:pStyle w:val="Appendixtitle"/>
      </w:pPr>
      <w:r>
        <w:lastRenderedPageBreak/>
        <w:t xml:space="preserve">Appendix </w:t>
      </w:r>
      <w:r w:rsidR="00CB71DD">
        <w:t>B</w:t>
      </w:r>
      <w:r>
        <w:t>:</w:t>
      </w:r>
      <w:r w:rsidR="00055900">
        <w:t xml:space="preserve"> </w:t>
      </w:r>
      <w:r w:rsidR="00F34236">
        <w:t xml:space="preserve">Examples of </w:t>
      </w:r>
      <w:r>
        <w:t>Contamination Card</w:t>
      </w:r>
      <w:r w:rsidR="00EE75EE">
        <w:t>s</w:t>
      </w:r>
    </w:p>
    <w:p w:rsidR="000C2B31" w:rsidRPr="000C2B31" w:rsidRDefault="000C2B31" w:rsidP="000C2B31">
      <w:pPr>
        <w:pStyle w:val="Appendixtitle"/>
        <w:jc w:val="left"/>
        <w:rPr>
          <w:rFonts w:ascii="Times New Roman" w:hAnsi="Times New Roman" w:cs="Times New Roman"/>
          <w:b w:val="0"/>
          <w:bCs w:val="0"/>
          <w:smallCaps w:val="0"/>
          <w:color w:val="000000" w:themeColor="text1"/>
          <w:sz w:val="24"/>
          <w:szCs w:val="24"/>
        </w:rPr>
      </w:pPr>
      <w:r w:rsidRPr="000C2B31">
        <w:rPr>
          <w:rFonts w:ascii="Times New Roman" w:hAnsi="Times New Roman" w:cs="Times New Roman"/>
          <w:b w:val="0"/>
          <w:bCs w:val="0"/>
          <w:smallCaps w:val="0"/>
          <w:color w:val="000000" w:themeColor="text1"/>
          <w:sz w:val="24"/>
          <w:szCs w:val="24"/>
        </w:rPr>
        <w:t xml:space="preserve">Contamination Cards provide </w:t>
      </w:r>
      <w:r>
        <w:rPr>
          <w:rFonts w:ascii="Times New Roman" w:hAnsi="Times New Roman" w:cs="Times New Roman"/>
          <w:b w:val="0"/>
          <w:bCs w:val="0"/>
          <w:smallCaps w:val="0"/>
          <w:color w:val="000000" w:themeColor="text1"/>
          <w:sz w:val="24"/>
          <w:szCs w:val="24"/>
        </w:rPr>
        <w:t>the</w:t>
      </w:r>
      <w:r w:rsidRPr="000C2B31">
        <w:rPr>
          <w:rFonts w:ascii="Times New Roman" w:hAnsi="Times New Roman" w:cs="Times New Roman"/>
          <w:b w:val="0"/>
          <w:bCs w:val="0"/>
          <w:smallCaps w:val="0"/>
          <w:color w:val="000000" w:themeColor="text1"/>
          <w:sz w:val="24"/>
          <w:szCs w:val="24"/>
        </w:rPr>
        <w:t xml:space="preserve"> </w:t>
      </w:r>
      <w:r w:rsidRPr="000C2B31">
        <w:rPr>
          <w:rFonts w:ascii="Times New Roman" w:hAnsi="Times New Roman" w:cs="Times New Roman"/>
          <w:b w:val="0"/>
          <w:bCs w:val="0"/>
          <w:i/>
          <w:smallCaps w:val="0"/>
          <w:color w:val="000000" w:themeColor="text1"/>
          <w:sz w:val="24"/>
          <w:szCs w:val="24"/>
        </w:rPr>
        <w:t>radiological</w:t>
      </w:r>
      <w:r w:rsidRPr="000C2B31">
        <w:rPr>
          <w:rFonts w:ascii="Times New Roman" w:hAnsi="Times New Roman" w:cs="Times New Roman"/>
          <w:b w:val="0"/>
          <w:bCs w:val="0"/>
          <w:smallCaps w:val="0"/>
          <w:color w:val="000000" w:themeColor="text1"/>
          <w:sz w:val="24"/>
          <w:szCs w:val="24"/>
        </w:rPr>
        <w:t xml:space="preserve"> information about individuals presenting at the CRC. </w:t>
      </w:r>
      <w:r>
        <w:rPr>
          <w:rFonts w:ascii="Times New Roman" w:hAnsi="Times New Roman" w:cs="Times New Roman"/>
          <w:b w:val="0"/>
          <w:bCs w:val="0"/>
          <w:smallCaps w:val="0"/>
          <w:color w:val="000000" w:themeColor="text1"/>
          <w:sz w:val="24"/>
          <w:szCs w:val="24"/>
        </w:rPr>
        <w:t xml:space="preserve">They </w:t>
      </w:r>
      <w:r w:rsidRPr="000C2B31">
        <w:rPr>
          <w:rFonts w:ascii="Times New Roman" w:hAnsi="Times New Roman" w:cs="Times New Roman"/>
          <w:b w:val="0"/>
          <w:bCs w:val="0"/>
          <w:smallCaps w:val="0"/>
          <w:color w:val="000000" w:themeColor="text1"/>
          <w:sz w:val="24"/>
          <w:szCs w:val="24"/>
        </w:rPr>
        <w:t>are used by radiological controllers to provide simulated contamination readings to CRC staff conducting radiological monitoring operations.</w:t>
      </w:r>
    </w:p>
    <w:p w:rsidR="002F39BF" w:rsidRDefault="00633B94" w:rsidP="00AE6AF7">
      <w:pPr>
        <w:rPr>
          <w:color w:val="FF0000"/>
          <w:kern w:val="32"/>
        </w:rPr>
      </w:pPr>
      <w:r w:rsidRPr="00633B94">
        <w:rPr>
          <w:noProof/>
        </w:rPr>
        <w:pict>
          <v:oval id="Oval 14" o:spid="_x0000_s1028" style="position:absolute;margin-left:107.9pt;margin-top:43.5pt;width:25.45pt;height:22.95pt;z-index:25169203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k6MMA&#10;AADaAAAADwAAAGRycy9kb3ducmV2LnhtbESPQWvCQBSE7wX/w/KE3pqNg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yk6MMAAADaAAAADwAAAAAAAAAAAAAAAACYAgAAZHJzL2Rv&#10;d25yZXYueG1sUEsFBgAAAAAEAAQA9QAAAIgDAAAAAA==&#10;" fillcolor="white [3201]" strokecolor="black [3200]" strokeweight="2pt">
            <v:textbox>
              <w:txbxContent>
                <w:p w:rsidR="005A7974" w:rsidRPr="00B52472" w:rsidRDefault="005A7974" w:rsidP="005A7974">
                  <w:pPr>
                    <w:jc w:val="center"/>
                    <w:rPr>
                      <w:color w:val="000000" w:themeColor="text1"/>
                      <w:sz w:val="16"/>
                      <w:szCs w:val="16"/>
                    </w:rPr>
                  </w:pPr>
                  <w:r w:rsidRPr="00B52472">
                    <w:rPr>
                      <w:color w:val="000000" w:themeColor="text1"/>
                      <w:sz w:val="16"/>
                      <w:szCs w:val="16"/>
                    </w:rPr>
                    <w:t>2</w:t>
                  </w:r>
                </w:p>
              </w:txbxContent>
            </v:textbox>
          </v:oval>
        </w:pict>
      </w:r>
      <w:r w:rsidRPr="00633B94">
        <w:rPr>
          <w:noProof/>
        </w:rPr>
        <w:pict>
          <v:oval id="Oval 13" o:spid="_x0000_s1027" style="position:absolute;margin-left:44.3pt;margin-top:138.45pt;width:25.45pt;height:22.95pt;z-index:25169100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5A7974" w:rsidRPr="00B52472" w:rsidRDefault="005A7974" w:rsidP="005A7974">
                  <w:pPr>
                    <w:jc w:val="center"/>
                    <w:rPr>
                      <w:color w:val="000000" w:themeColor="text1"/>
                      <w:sz w:val="16"/>
                      <w:szCs w:val="16"/>
                    </w:rPr>
                  </w:pPr>
                  <w:r w:rsidRPr="00B52472">
                    <w:rPr>
                      <w:color w:val="000000" w:themeColor="text1"/>
                      <w:sz w:val="16"/>
                      <w:szCs w:val="16"/>
                    </w:rPr>
                    <w:t>1</w:t>
                  </w:r>
                </w:p>
              </w:txbxContent>
            </v:textbox>
          </v:oval>
        </w:pict>
      </w:r>
      <w:r w:rsidRPr="00633B94">
        <w:rPr>
          <w:noProof/>
        </w:rPr>
        <w:pict>
          <v:oval id="Oval 22" o:spid="_x0000_s1034" style="position:absolute;margin-left:110.25pt;margin-top:285.75pt;width:25.35pt;height:22.9pt;z-index:251698176;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Iq8AA&#10;AADbAAAADwAAAGRycy9kb3ducmV2LnhtbERPTYvCMBC9L/gfwgjetqkeXFuNIoKwyl5sBa9jM7bV&#10;ZlKarNZ/bxYWvM3jfc5i1ZtG3KlztWUF4ygGQVxYXXOp4JhvP2cgnEfW2FgmBU9ysFoOPhaYavvg&#10;A90zX4oQwi5FBZX3bSqlKyoy6CLbEgfuYjuDPsCulLrDRwg3jZzE8VQarDk0VNjSpqLilv0aBeXh&#10;5vYTTIrrOfnKdk2d/ySnXKnRsF/PQXjq/Vv87/7WYf4Y/n4J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3Iq8AAAADbAAAADwAAAAAAAAAAAAAAAACYAgAAZHJzL2Rvd25y&#10;ZXYueG1sUEsFBgAAAAAEAAQA9QAAAIUDAAAAAA==&#10;" fillcolor="white [3201]" strokecolor="black [3200]" strokeweight="2pt">
            <v:textbox>
              <w:txbxContent>
                <w:p w:rsidR="005A7974" w:rsidRPr="00B52472" w:rsidRDefault="005A7974" w:rsidP="005A7974">
                  <w:pPr>
                    <w:rPr>
                      <w:sz w:val="16"/>
                      <w:szCs w:val="16"/>
                    </w:rPr>
                  </w:pPr>
                  <w:r w:rsidRPr="00B52472">
                    <w:rPr>
                      <w:color w:val="000000" w:themeColor="text1"/>
                      <w:sz w:val="16"/>
                      <w:szCs w:val="16"/>
                    </w:rPr>
                    <w:t>7</w:t>
                  </w:r>
                </w:p>
              </w:txbxContent>
            </v:textbox>
          </v:oval>
        </w:pict>
      </w:r>
      <w:r w:rsidRPr="00633B94">
        <w:rPr>
          <w:noProof/>
        </w:rPr>
        <w:pict>
          <v:oval id="Oval 21" o:spid="_x0000_s1033" style="position:absolute;margin-left:197.4pt;margin-top:321.5pt;width:25.4pt;height:22.9pt;z-index:25169715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tMMQA&#10;AADbAAAADwAAAGRycy9kb3ducmV2LnhtbESPQWvCQBCF7wX/wzKCt7rRg22iq4hQqKUXE8HrmB2T&#10;aHY2ZFdN/33nUOhthvfmvW9Wm8G16kF9aDwbmE0TUMSltw1XBo7Fx+s7qBCRLbaeycAPBdisRy8r&#10;zKx/8oEeeayUhHDI0EAdY5dpHcqaHIap74hFu/jeYZS1r7Tt8SnhrtXzJFlohw1LQ40d7Woqb/nd&#10;GagOt/A1x7S8ntO3fN82xXd6KoyZjIftElSkIf6b/64/re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bTDEAAAA2wAAAA8AAAAAAAAAAAAAAAAAmAIAAGRycy9k&#10;b3ducmV2LnhtbFBLBQYAAAAABAAEAPUAAACJAwAAAAA=&#10;" fillcolor="white [3201]" strokecolor="black [3200]" strokeweight="2pt">
            <v:textbox>
              <w:txbxContent>
                <w:p w:rsidR="005A7974" w:rsidRPr="00B52472" w:rsidRDefault="005A7974" w:rsidP="005A7974">
                  <w:pPr>
                    <w:jc w:val="center"/>
                    <w:rPr>
                      <w:color w:val="000000" w:themeColor="text1"/>
                      <w:sz w:val="16"/>
                      <w:szCs w:val="16"/>
                    </w:rPr>
                  </w:pPr>
                  <w:r w:rsidRPr="00B52472">
                    <w:rPr>
                      <w:color w:val="000000" w:themeColor="text1"/>
                      <w:sz w:val="16"/>
                      <w:szCs w:val="16"/>
                    </w:rPr>
                    <w:t>8</w:t>
                  </w:r>
                </w:p>
              </w:txbxContent>
            </v:textbox>
          </v:oval>
        </w:pict>
      </w:r>
      <w:r w:rsidRPr="00633B94">
        <w:rPr>
          <w:noProof/>
        </w:rPr>
        <w:pict>
          <v:oval id="Oval 20" o:spid="_x0000_s1032" style="position:absolute;margin-left:88.65pt;margin-top:266.85pt;width:25.4pt;height:22.85pt;z-index:25169612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Gu7cEA&#10;AADaAAAADwAAAGRycy9kb3ducmV2LnhtbESPQYvCMBSE7wv+h/AEb2uqB91Wo4ggqHixXdjrs3m2&#10;1ealNFHrvzeCsMdhZr5h5svO1OJOrassKxgNIxDEudUVFwp+s833DwjnkTXWlknBkxwsF72vOSba&#10;PvhI99QXIkDYJaig9L5JpHR5SQbd0DbEwTvb1qAPsi2kbvER4KaW4yiaSIMVh4USG1qXlF/Tm1FQ&#10;HK9uP8Y4v5ziabqrq+wQ/2VKDfrdagbCU+f/w5/2ViuI4X0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ru3BAAAA2gAAAA8AAAAAAAAAAAAAAAAAmAIAAGRycy9kb3du&#10;cmV2LnhtbFBLBQYAAAAABAAEAPUAAACGAwAAAAA=&#10;" fillcolor="white [3201]" strokecolor="black [3200]" strokeweight="2pt">
            <v:textbox>
              <w:txbxContent>
                <w:p w:rsidR="005A7974" w:rsidRPr="00B52472" w:rsidRDefault="005A7974" w:rsidP="005A7974">
                  <w:pPr>
                    <w:rPr>
                      <w:sz w:val="16"/>
                      <w:szCs w:val="16"/>
                    </w:rPr>
                  </w:pPr>
                  <w:r w:rsidRPr="00B52472">
                    <w:rPr>
                      <w:color w:val="000000" w:themeColor="text1"/>
                      <w:sz w:val="16"/>
                      <w:szCs w:val="16"/>
                    </w:rPr>
                    <w:t>6</w:t>
                  </w:r>
                </w:p>
              </w:txbxContent>
            </v:textbox>
          </v:oval>
        </w:pict>
      </w:r>
      <w:r w:rsidRPr="00633B94">
        <w:rPr>
          <w:noProof/>
        </w:rPr>
        <w:pict>
          <v:oval id="Oval 18" o:spid="_x0000_s1031" style="position:absolute;margin-left:64.65pt;margin-top:247.65pt;width:25.35pt;height:22.9pt;z-index:25169510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Ldr4A&#10;AADaAAAADwAAAGRycy9kb3ducmV2LnhtbERPTYvCMBC9L/gfwgje1lQPaqtRRBBU9mIreB2bsa02&#10;k9JErf9+cxA8Pt73YtWZWjypdZVlBaNhBII4t7riQsEp2/7OQDiPrLG2TAre5GC17P0sMNH2xUd6&#10;pr4QIYRdggpK75tESpeXZNANbUMcuKttDfoA20LqFl8h3NRyHEUTabDi0FBiQ5uS8nv6MAqK490d&#10;xhjnt0s8Tfd1lf3F50ypQb9bz0F46vxX/HHvtIKwNVwJN0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NC3a+AAAA2gAAAA8AAAAAAAAAAAAAAAAAmAIAAGRycy9kb3ducmV2&#10;LnhtbFBLBQYAAAAABAAEAPUAAACDAwAAAAA=&#10;" fillcolor="white [3201]" strokecolor="black [3200]" strokeweight="2pt">
            <v:textbox>
              <w:txbxContent>
                <w:p w:rsidR="005A7974" w:rsidRPr="00B52472" w:rsidRDefault="005A7974" w:rsidP="005A7974">
                  <w:pPr>
                    <w:jc w:val="center"/>
                    <w:rPr>
                      <w:color w:val="000000" w:themeColor="text1"/>
                      <w:sz w:val="16"/>
                      <w:szCs w:val="16"/>
                    </w:rPr>
                  </w:pPr>
                  <w:r w:rsidRPr="00B52472">
                    <w:rPr>
                      <w:color w:val="000000" w:themeColor="text1"/>
                      <w:sz w:val="16"/>
                      <w:szCs w:val="16"/>
                    </w:rPr>
                    <w:t>5</w:t>
                  </w:r>
                </w:p>
              </w:txbxContent>
            </v:textbox>
          </v:oval>
        </w:pict>
      </w:r>
      <w:r w:rsidRPr="00633B94">
        <w:rPr>
          <w:noProof/>
        </w:rPr>
        <w:pict>
          <v:oval id="Oval 16" o:spid="_x0000_s1030" style="position:absolute;margin-left:23.85pt;margin-top:225.1pt;width:25.4pt;height:22.9pt;z-index:251694080;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fBMMA&#10;AADaAAAADwAAAGRycy9kb3ducmV2LnhtbESPQWuDQBSE74X8h+UFeqtrPNRqsgkhUGhLLtFAr6/u&#10;i5q4b8Xdqv332UKhx2FmvmE2u9l0YqTBtZYVrKIYBHFldcu1gnP5+vQCwnlkjZ1lUvBDDnbbxcMG&#10;c20nPtFY+FoECLscFTTe97mUrmrIoItsTxy8ix0M+iCHWuoBpwA3nUzi+FkabDksNNjToaHqVnwb&#10;BfXp5j4SzKrrV5YW711bHrPPUqnH5bxfg/A0+//wX/tNK0jh9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fBMMAAADaAAAADwAAAAAAAAAAAAAAAACYAgAAZHJzL2Rv&#10;d25yZXYueG1sUEsFBgAAAAAEAAQA9QAAAIgDAAAAAA==&#10;" fillcolor="white [3201]" strokecolor="black [3200]" strokeweight="2pt">
            <v:textbox>
              <w:txbxContent>
                <w:p w:rsidR="005A7974" w:rsidRPr="00B52472" w:rsidRDefault="005A7974" w:rsidP="005A7974">
                  <w:pPr>
                    <w:jc w:val="center"/>
                    <w:rPr>
                      <w:color w:val="000000" w:themeColor="text1"/>
                      <w:sz w:val="16"/>
                      <w:szCs w:val="16"/>
                    </w:rPr>
                  </w:pPr>
                  <w:r w:rsidRPr="00B52472">
                    <w:rPr>
                      <w:color w:val="000000" w:themeColor="text1"/>
                      <w:sz w:val="16"/>
                      <w:szCs w:val="16"/>
                    </w:rPr>
                    <w:t>4</w:t>
                  </w:r>
                </w:p>
              </w:txbxContent>
            </v:textbox>
          </v:oval>
        </w:pict>
      </w:r>
      <w:r w:rsidRPr="00633B94">
        <w:rPr>
          <w:noProof/>
        </w:rPr>
        <w:pict>
          <v:oval id="Oval 15" o:spid="_x0000_s1029" style="position:absolute;margin-left:187.2pt;margin-top:24.5pt;width:25.4pt;height:22.9pt;z-index:251693056;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46n8MA&#10;AADaAAAADwAAAGRycy9kb3ducmV2LnhtbESPQWuDQBSE74X+h+UFcqtrPJhoswmlUGhDLtFAr6/u&#10;q9q4b8Xdqv333UAgx2FmvmG2+9l0YqTBtZYVrKIYBHFldcu1gnP59rQB4Tyyxs4yKfgjB/vd48MW&#10;c20nPtFY+FoECLscFTTe97mUrmrIoItsTxy8bzsY9EEOtdQDTgFuOpnEcSoNthwWGuzptaHqUvwa&#10;BfXp4g4JZtXPV7YuPrq2PGafpVLLxfzyDMLT7O/hW/tdK0jheiXc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46n8MAAADaAAAADwAAAAAAAAAAAAAAAACYAgAAZHJzL2Rv&#10;d25yZXYueG1sUEsFBgAAAAAEAAQA9QAAAIgDAAAAAA==&#10;" fillcolor="white [3201]" strokecolor="black [3200]" strokeweight="2pt">
            <v:textbox>
              <w:txbxContent>
                <w:p w:rsidR="005A7974" w:rsidRPr="00B52472" w:rsidRDefault="005A7974" w:rsidP="005A7974">
                  <w:pPr>
                    <w:jc w:val="center"/>
                    <w:rPr>
                      <w:color w:val="000000" w:themeColor="text1"/>
                      <w:sz w:val="16"/>
                      <w:szCs w:val="16"/>
                    </w:rPr>
                  </w:pPr>
                  <w:r w:rsidRPr="00B52472">
                    <w:rPr>
                      <w:color w:val="000000" w:themeColor="text1"/>
                      <w:sz w:val="16"/>
                      <w:szCs w:val="16"/>
                    </w:rPr>
                    <w:t>3</w:t>
                  </w:r>
                </w:p>
              </w:txbxContent>
            </v:textbox>
          </v:oval>
        </w:pict>
      </w:r>
      <w:r w:rsidR="005A7974" w:rsidRPr="005A7974">
        <w:rPr>
          <w:noProof/>
        </w:rPr>
        <w:drawing>
          <wp:inline distT="0" distB="0" distL="0" distR="0">
            <wp:extent cx="5791200" cy="4427738"/>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20513" t="12308" r="13462" b="6922"/>
                    <a:stretch/>
                  </pic:blipFill>
                  <pic:spPr bwMode="auto">
                    <a:xfrm>
                      <a:off x="0" y="0"/>
                      <a:ext cx="5791200" cy="442773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604BD" w:rsidRPr="0046453F" w:rsidRDefault="005604BD" w:rsidP="001E28D8">
      <w:pPr>
        <w:shd w:val="clear" w:color="auto" w:fill="FFFFFF"/>
        <w:spacing w:before="120"/>
        <w:rPr>
          <w:b/>
          <w:color w:val="000000" w:themeColor="text1"/>
        </w:rPr>
      </w:pPr>
      <w:r w:rsidRPr="0046453F">
        <w:rPr>
          <w:b/>
          <w:color w:val="000000" w:themeColor="text1"/>
        </w:rPr>
        <w:t>Front of Card</w:t>
      </w:r>
      <w:r w:rsidR="001E28D8" w:rsidRPr="0046453F">
        <w:rPr>
          <w:b/>
          <w:color w:val="000000" w:themeColor="text1"/>
        </w:rPr>
        <w:t xml:space="preserve"> (Figure)</w:t>
      </w:r>
    </w:p>
    <w:p w:rsidR="00EB68CD" w:rsidRPr="0046453F" w:rsidRDefault="00EB68CD" w:rsidP="005604BD">
      <w:pPr>
        <w:shd w:val="clear" w:color="auto" w:fill="FFFFFF"/>
        <w:rPr>
          <w:color w:val="000000" w:themeColor="text1"/>
        </w:rPr>
      </w:pPr>
    </w:p>
    <w:p w:rsidR="005604BD" w:rsidRPr="0046453F" w:rsidRDefault="005604BD" w:rsidP="0046453F">
      <w:pPr>
        <w:pStyle w:val="ListParagraph"/>
        <w:numPr>
          <w:ilvl w:val="0"/>
          <w:numId w:val="35"/>
        </w:numPr>
        <w:shd w:val="clear" w:color="auto" w:fill="FFFFFF"/>
        <w:spacing w:after="120" w:line="240" w:lineRule="auto"/>
        <w:contextualSpacing w:val="0"/>
        <w:rPr>
          <w:rFonts w:ascii="Times New Roman" w:eastAsia="Times New Roman" w:hAnsi="Times New Roman" w:cs="Times New Roman"/>
          <w:color w:val="000000" w:themeColor="text1"/>
          <w:sz w:val="24"/>
          <w:szCs w:val="24"/>
        </w:rPr>
      </w:pPr>
      <w:r w:rsidRPr="0046453F">
        <w:rPr>
          <w:rFonts w:ascii="Times New Roman" w:eastAsia="Times New Roman" w:hAnsi="Times New Roman" w:cs="Times New Roman"/>
          <w:color w:val="000000" w:themeColor="text1"/>
          <w:sz w:val="24"/>
          <w:szCs w:val="24"/>
        </w:rPr>
        <w:t>The blocks that are shaded indicate the contaminated areas of the body.</w:t>
      </w:r>
      <w:r w:rsidR="00A42ECD" w:rsidRPr="0046453F">
        <w:rPr>
          <w:rFonts w:ascii="Times New Roman" w:eastAsia="Times New Roman" w:hAnsi="Times New Roman" w:cs="Times New Roman"/>
          <w:color w:val="000000" w:themeColor="text1"/>
          <w:sz w:val="24"/>
          <w:szCs w:val="24"/>
        </w:rPr>
        <w:t xml:space="preserve"> </w:t>
      </w:r>
      <w:r w:rsidRPr="0046453F">
        <w:rPr>
          <w:rFonts w:ascii="Times New Roman" w:eastAsia="Times New Roman" w:hAnsi="Times New Roman" w:cs="Times New Roman"/>
          <w:color w:val="000000" w:themeColor="text1"/>
          <w:sz w:val="24"/>
          <w:szCs w:val="24"/>
        </w:rPr>
        <w:t>The quick geographical reference will help the controller focus on the contaminated areas being monitored.</w:t>
      </w:r>
    </w:p>
    <w:p w:rsidR="005604BD" w:rsidRPr="0046453F" w:rsidRDefault="005604BD" w:rsidP="0046453F">
      <w:pPr>
        <w:pStyle w:val="ListParagraph"/>
        <w:numPr>
          <w:ilvl w:val="0"/>
          <w:numId w:val="35"/>
        </w:numPr>
        <w:shd w:val="clear" w:color="auto" w:fill="FFFFFF"/>
        <w:spacing w:after="120" w:line="240" w:lineRule="auto"/>
        <w:contextualSpacing w:val="0"/>
        <w:rPr>
          <w:rFonts w:ascii="Times New Roman" w:eastAsia="Times New Roman" w:hAnsi="Times New Roman" w:cs="Times New Roman"/>
          <w:color w:val="000000" w:themeColor="text1"/>
          <w:sz w:val="24"/>
          <w:szCs w:val="24"/>
        </w:rPr>
      </w:pPr>
      <w:r w:rsidRPr="0046453F">
        <w:rPr>
          <w:rFonts w:ascii="Times New Roman" w:eastAsia="Times New Roman" w:hAnsi="Times New Roman" w:cs="Times New Roman"/>
          <w:color w:val="000000" w:themeColor="text1"/>
          <w:sz w:val="24"/>
          <w:szCs w:val="24"/>
        </w:rPr>
        <w:t>The unshaded blocks are uncontaminated</w:t>
      </w:r>
      <w:r w:rsidR="001E28D8" w:rsidRPr="0046453F">
        <w:rPr>
          <w:rFonts w:ascii="Times New Roman" w:eastAsia="Times New Roman" w:hAnsi="Times New Roman" w:cs="Times New Roman"/>
          <w:color w:val="000000" w:themeColor="text1"/>
          <w:sz w:val="24"/>
          <w:szCs w:val="24"/>
        </w:rPr>
        <w:t>,</w:t>
      </w:r>
      <w:r w:rsidRPr="0046453F">
        <w:rPr>
          <w:rFonts w:ascii="Times New Roman" w:eastAsia="Times New Roman" w:hAnsi="Times New Roman" w:cs="Times New Roman"/>
          <w:color w:val="000000" w:themeColor="text1"/>
          <w:sz w:val="24"/>
          <w:szCs w:val="24"/>
        </w:rPr>
        <w:t xml:space="preserve"> and the controller will report the level as “As Read</w:t>
      </w:r>
      <w:r w:rsidR="001E28D8" w:rsidRPr="0046453F">
        <w:rPr>
          <w:rFonts w:ascii="Times New Roman" w:eastAsia="Times New Roman" w:hAnsi="Times New Roman" w:cs="Times New Roman"/>
          <w:color w:val="000000" w:themeColor="text1"/>
          <w:sz w:val="24"/>
          <w:szCs w:val="24"/>
        </w:rPr>
        <w:t>.</w:t>
      </w:r>
      <w:r w:rsidRPr="0046453F">
        <w:rPr>
          <w:rFonts w:ascii="Times New Roman" w:eastAsia="Times New Roman" w:hAnsi="Times New Roman" w:cs="Times New Roman"/>
          <w:color w:val="000000" w:themeColor="text1"/>
          <w:sz w:val="24"/>
          <w:szCs w:val="24"/>
        </w:rPr>
        <w:t>”</w:t>
      </w:r>
    </w:p>
    <w:p w:rsidR="005604BD" w:rsidRPr="0046453F" w:rsidRDefault="005604BD" w:rsidP="0046453F">
      <w:pPr>
        <w:pStyle w:val="ListParagraph"/>
        <w:numPr>
          <w:ilvl w:val="0"/>
          <w:numId w:val="35"/>
        </w:numPr>
        <w:shd w:val="clear" w:color="auto" w:fill="FFFFFF"/>
        <w:spacing w:after="0" w:line="240" w:lineRule="auto"/>
        <w:rPr>
          <w:rFonts w:ascii="Times New Roman" w:eastAsia="Times New Roman" w:hAnsi="Times New Roman" w:cs="Times New Roman"/>
          <w:color w:val="000000" w:themeColor="text1"/>
          <w:sz w:val="24"/>
          <w:szCs w:val="24"/>
        </w:rPr>
      </w:pPr>
      <w:r w:rsidRPr="0046453F">
        <w:rPr>
          <w:rFonts w:ascii="Times New Roman" w:eastAsia="Times New Roman" w:hAnsi="Times New Roman" w:cs="Times New Roman"/>
          <w:color w:val="000000" w:themeColor="text1"/>
          <w:sz w:val="24"/>
          <w:szCs w:val="24"/>
        </w:rPr>
        <w:t xml:space="preserve">The cards </w:t>
      </w:r>
      <w:r w:rsidR="001E28D8" w:rsidRPr="0046453F">
        <w:rPr>
          <w:rFonts w:ascii="Times New Roman" w:eastAsia="Times New Roman" w:hAnsi="Times New Roman" w:cs="Times New Roman"/>
          <w:color w:val="000000" w:themeColor="text1"/>
          <w:sz w:val="24"/>
          <w:szCs w:val="24"/>
        </w:rPr>
        <w:t>provided in the Toolkit are</w:t>
      </w:r>
      <w:r w:rsidRPr="0046453F">
        <w:rPr>
          <w:rFonts w:ascii="Times New Roman" w:eastAsia="Times New Roman" w:hAnsi="Times New Roman" w:cs="Times New Roman"/>
          <w:color w:val="000000" w:themeColor="text1"/>
          <w:sz w:val="24"/>
          <w:szCs w:val="24"/>
        </w:rPr>
        <w:t xml:space="preserve"> numbered</w:t>
      </w:r>
      <w:r w:rsidR="001E28D8" w:rsidRPr="0046453F">
        <w:rPr>
          <w:rFonts w:ascii="Times New Roman" w:eastAsia="Times New Roman" w:hAnsi="Times New Roman" w:cs="Times New Roman"/>
          <w:color w:val="000000" w:themeColor="text1"/>
          <w:sz w:val="24"/>
          <w:szCs w:val="24"/>
        </w:rPr>
        <w:t>, and an Excel spreadsheet provides</w:t>
      </w:r>
      <w:r w:rsidRPr="0046453F">
        <w:rPr>
          <w:rFonts w:ascii="Times New Roman" w:eastAsia="Times New Roman" w:hAnsi="Times New Roman" w:cs="Times New Roman"/>
          <w:color w:val="000000" w:themeColor="text1"/>
          <w:sz w:val="24"/>
          <w:szCs w:val="24"/>
        </w:rPr>
        <w:t xml:space="preserve"> an index to allow the </w:t>
      </w:r>
      <w:r w:rsidR="00A42ECD" w:rsidRPr="0046453F">
        <w:rPr>
          <w:rFonts w:ascii="Times New Roman" w:eastAsia="Times New Roman" w:hAnsi="Times New Roman" w:cs="Times New Roman"/>
          <w:color w:val="000000" w:themeColor="text1"/>
          <w:sz w:val="24"/>
          <w:szCs w:val="24"/>
        </w:rPr>
        <w:t>drill</w:t>
      </w:r>
      <w:r w:rsidRPr="0046453F">
        <w:rPr>
          <w:rFonts w:ascii="Times New Roman" w:eastAsia="Times New Roman" w:hAnsi="Times New Roman" w:cs="Times New Roman"/>
          <w:color w:val="000000" w:themeColor="text1"/>
          <w:sz w:val="24"/>
          <w:szCs w:val="24"/>
        </w:rPr>
        <w:t xml:space="preserve"> planners to select specific cards if they do not plan to use the cards as sets.</w:t>
      </w:r>
    </w:p>
    <w:p w:rsidR="005604BD" w:rsidRPr="0046453F" w:rsidRDefault="005604BD" w:rsidP="005604BD">
      <w:pPr>
        <w:shd w:val="clear" w:color="auto" w:fill="FFFFFF"/>
        <w:rPr>
          <w:color w:val="000000" w:themeColor="text1"/>
        </w:rPr>
      </w:pPr>
    </w:p>
    <w:p w:rsidR="005604BD" w:rsidRPr="0046453F" w:rsidRDefault="005604BD" w:rsidP="005604BD">
      <w:pPr>
        <w:shd w:val="clear" w:color="auto" w:fill="FFFFFF"/>
        <w:rPr>
          <w:b/>
          <w:color w:val="000000" w:themeColor="text1"/>
        </w:rPr>
      </w:pPr>
      <w:r w:rsidRPr="0046453F">
        <w:rPr>
          <w:b/>
          <w:color w:val="000000" w:themeColor="text1"/>
        </w:rPr>
        <w:t>Back of Card</w:t>
      </w:r>
      <w:r w:rsidR="001E28D8" w:rsidRPr="0046453F">
        <w:rPr>
          <w:b/>
          <w:color w:val="000000" w:themeColor="text1"/>
        </w:rPr>
        <w:t xml:space="preserve"> (Table)</w:t>
      </w:r>
    </w:p>
    <w:p w:rsidR="00EB68CD" w:rsidRPr="0046453F" w:rsidRDefault="00EB68CD" w:rsidP="005604BD">
      <w:pPr>
        <w:shd w:val="clear" w:color="auto" w:fill="FFFFFF"/>
        <w:rPr>
          <w:color w:val="000000" w:themeColor="text1"/>
        </w:rPr>
      </w:pPr>
    </w:p>
    <w:p w:rsidR="005604BD" w:rsidRPr="0046453F" w:rsidRDefault="005604BD" w:rsidP="0046453F">
      <w:pPr>
        <w:pStyle w:val="ListParagraph"/>
        <w:numPr>
          <w:ilvl w:val="0"/>
          <w:numId w:val="35"/>
        </w:numPr>
        <w:shd w:val="clear" w:color="auto" w:fill="FFFFFF"/>
        <w:spacing w:after="120" w:line="240" w:lineRule="auto"/>
        <w:contextualSpacing w:val="0"/>
        <w:rPr>
          <w:rFonts w:ascii="Times New Roman" w:eastAsia="Times New Roman" w:hAnsi="Times New Roman" w:cs="Times New Roman"/>
          <w:color w:val="000000" w:themeColor="text1"/>
          <w:sz w:val="24"/>
          <w:szCs w:val="24"/>
        </w:rPr>
      </w:pPr>
      <w:r w:rsidRPr="0046453F">
        <w:rPr>
          <w:rFonts w:ascii="Times New Roman" w:eastAsia="Times New Roman" w:hAnsi="Times New Roman" w:cs="Times New Roman"/>
          <w:color w:val="000000" w:themeColor="text1"/>
          <w:sz w:val="24"/>
          <w:szCs w:val="24"/>
        </w:rPr>
        <w:t>The first column represents the body parts that are contaminated</w:t>
      </w:r>
      <w:r w:rsidR="001E28D8" w:rsidRPr="0046453F">
        <w:rPr>
          <w:rFonts w:ascii="Times New Roman" w:eastAsia="Times New Roman" w:hAnsi="Times New Roman" w:cs="Times New Roman"/>
          <w:color w:val="000000" w:themeColor="text1"/>
          <w:sz w:val="24"/>
          <w:szCs w:val="24"/>
        </w:rPr>
        <w:t>. They</w:t>
      </w:r>
      <w:r w:rsidRPr="0046453F">
        <w:rPr>
          <w:rFonts w:ascii="Times New Roman" w:eastAsia="Times New Roman" w:hAnsi="Times New Roman" w:cs="Times New Roman"/>
          <w:color w:val="000000" w:themeColor="text1"/>
          <w:sz w:val="24"/>
          <w:szCs w:val="24"/>
        </w:rPr>
        <w:t xml:space="preserve"> correspond to the blocks on the front of the card.</w:t>
      </w:r>
    </w:p>
    <w:p w:rsidR="005604BD" w:rsidRPr="0046453F" w:rsidRDefault="005604BD" w:rsidP="0046453F">
      <w:pPr>
        <w:pStyle w:val="ListParagraph"/>
        <w:numPr>
          <w:ilvl w:val="0"/>
          <w:numId w:val="35"/>
        </w:numPr>
        <w:shd w:val="clear" w:color="auto" w:fill="FFFFFF"/>
        <w:spacing w:after="120" w:line="240" w:lineRule="auto"/>
        <w:contextualSpacing w:val="0"/>
        <w:rPr>
          <w:rFonts w:ascii="Times New Roman" w:eastAsia="Times New Roman" w:hAnsi="Times New Roman" w:cs="Times New Roman"/>
          <w:color w:val="000000" w:themeColor="text1"/>
          <w:sz w:val="24"/>
          <w:szCs w:val="24"/>
        </w:rPr>
      </w:pPr>
      <w:r w:rsidRPr="0046453F">
        <w:rPr>
          <w:rFonts w:ascii="Times New Roman" w:eastAsia="Times New Roman" w:hAnsi="Times New Roman" w:cs="Times New Roman"/>
          <w:color w:val="000000" w:themeColor="text1"/>
          <w:sz w:val="24"/>
          <w:szCs w:val="24"/>
        </w:rPr>
        <w:lastRenderedPageBreak/>
        <w:t xml:space="preserve">The second (yellow) column represents </w:t>
      </w:r>
      <w:r w:rsidR="0083013E" w:rsidRPr="0046453F">
        <w:rPr>
          <w:rFonts w:ascii="Times New Roman" w:eastAsia="Times New Roman" w:hAnsi="Times New Roman" w:cs="Times New Roman"/>
          <w:color w:val="000000" w:themeColor="text1"/>
          <w:sz w:val="24"/>
          <w:szCs w:val="24"/>
        </w:rPr>
        <w:t>instruments that report count rates (</w:t>
      </w:r>
      <w:proofErr w:type="spellStart"/>
      <w:r w:rsidR="0083013E" w:rsidRPr="0046453F">
        <w:rPr>
          <w:rFonts w:ascii="Times New Roman" w:eastAsia="Times New Roman" w:hAnsi="Times New Roman" w:cs="Times New Roman"/>
          <w:color w:val="000000" w:themeColor="text1"/>
          <w:sz w:val="24"/>
          <w:szCs w:val="24"/>
        </w:rPr>
        <w:t>cpm</w:t>
      </w:r>
      <w:proofErr w:type="spellEnd"/>
      <w:r w:rsidR="0083013E" w:rsidRPr="0046453F">
        <w:rPr>
          <w:rFonts w:ascii="Times New Roman" w:eastAsia="Times New Roman" w:hAnsi="Times New Roman" w:cs="Times New Roman"/>
          <w:color w:val="000000" w:themeColor="text1"/>
          <w:sz w:val="24"/>
          <w:szCs w:val="24"/>
        </w:rPr>
        <w:t>) with higher</w:t>
      </w:r>
      <w:r w:rsidR="0050773F">
        <w:rPr>
          <w:rFonts w:ascii="Times New Roman" w:eastAsia="Times New Roman" w:hAnsi="Times New Roman" w:cs="Times New Roman"/>
          <w:color w:val="000000" w:themeColor="text1"/>
          <w:sz w:val="24"/>
          <w:szCs w:val="24"/>
        </w:rPr>
        <w:t xml:space="preserve"> efficiency, such as a pancake </w:t>
      </w:r>
      <w:r w:rsidR="0083013E" w:rsidRPr="0046453F">
        <w:rPr>
          <w:rFonts w:ascii="Times New Roman" w:eastAsia="Times New Roman" w:hAnsi="Times New Roman" w:cs="Times New Roman"/>
          <w:color w:val="000000" w:themeColor="text1"/>
          <w:sz w:val="24"/>
          <w:szCs w:val="24"/>
        </w:rPr>
        <w:t>GM probe.</w:t>
      </w:r>
      <w:r w:rsidRPr="0046453F">
        <w:rPr>
          <w:rFonts w:ascii="Times New Roman" w:eastAsia="Times New Roman" w:hAnsi="Times New Roman" w:cs="Times New Roman"/>
          <w:color w:val="000000" w:themeColor="text1"/>
          <w:sz w:val="24"/>
          <w:szCs w:val="24"/>
        </w:rPr>
        <w:t xml:space="preserve"> </w:t>
      </w:r>
    </w:p>
    <w:p w:rsidR="0083013E" w:rsidRPr="005364B3" w:rsidRDefault="0083013E" w:rsidP="001A5CD8">
      <w:pPr>
        <w:pStyle w:val="ListParagraph"/>
        <w:numPr>
          <w:ilvl w:val="0"/>
          <w:numId w:val="37"/>
        </w:numPr>
        <w:shd w:val="clear" w:color="auto" w:fill="FFFFFF"/>
        <w:spacing w:after="120" w:line="240" w:lineRule="auto"/>
        <w:ind w:left="360"/>
        <w:contextualSpacing w:val="0"/>
        <w:rPr>
          <w:rFonts w:ascii="Times New Roman" w:eastAsia="Times New Roman" w:hAnsi="Times New Roman" w:cs="Times New Roman"/>
          <w:color w:val="000000" w:themeColor="text1"/>
          <w:sz w:val="24"/>
          <w:szCs w:val="24"/>
        </w:rPr>
      </w:pPr>
      <w:r w:rsidRPr="005364B3">
        <w:rPr>
          <w:rFonts w:ascii="Times New Roman" w:eastAsia="Times New Roman" w:hAnsi="Times New Roman" w:cs="Times New Roman"/>
          <w:color w:val="000000" w:themeColor="text1"/>
          <w:sz w:val="24"/>
          <w:szCs w:val="24"/>
        </w:rPr>
        <w:t>The third column (blue) is for instruments that reports count rates (</w:t>
      </w:r>
      <w:proofErr w:type="spellStart"/>
      <w:r w:rsidRPr="005364B3">
        <w:rPr>
          <w:rFonts w:ascii="Times New Roman" w:eastAsia="Times New Roman" w:hAnsi="Times New Roman" w:cs="Times New Roman"/>
          <w:color w:val="000000" w:themeColor="text1"/>
          <w:sz w:val="24"/>
          <w:szCs w:val="24"/>
        </w:rPr>
        <w:t>cpm</w:t>
      </w:r>
      <w:proofErr w:type="spellEnd"/>
      <w:r w:rsidRPr="005364B3">
        <w:rPr>
          <w:rFonts w:ascii="Times New Roman" w:eastAsia="Times New Roman" w:hAnsi="Times New Roman" w:cs="Times New Roman"/>
          <w:color w:val="000000" w:themeColor="text1"/>
          <w:sz w:val="24"/>
          <w:szCs w:val="24"/>
        </w:rPr>
        <w:t>) with lower efficiency, such as an end-window or hotdog GM probe.</w:t>
      </w:r>
    </w:p>
    <w:p w:rsidR="0046453F" w:rsidRPr="005364B3" w:rsidRDefault="005604BD" w:rsidP="001A5CD8">
      <w:pPr>
        <w:pStyle w:val="ListParagraph"/>
        <w:numPr>
          <w:ilvl w:val="0"/>
          <w:numId w:val="37"/>
        </w:numPr>
        <w:shd w:val="clear" w:color="auto" w:fill="FFFFFF"/>
        <w:spacing w:after="120" w:line="240" w:lineRule="auto"/>
        <w:ind w:left="360"/>
        <w:contextualSpacing w:val="0"/>
        <w:rPr>
          <w:rFonts w:ascii="Times New Roman" w:eastAsia="Times New Roman" w:hAnsi="Times New Roman" w:cs="Times New Roman"/>
          <w:color w:val="000000" w:themeColor="text1"/>
          <w:sz w:val="24"/>
          <w:szCs w:val="24"/>
        </w:rPr>
      </w:pPr>
      <w:r w:rsidRPr="005364B3">
        <w:rPr>
          <w:rFonts w:ascii="Times New Roman" w:eastAsia="Times New Roman" w:hAnsi="Times New Roman" w:cs="Times New Roman"/>
          <w:color w:val="000000" w:themeColor="text1"/>
          <w:sz w:val="24"/>
          <w:szCs w:val="24"/>
        </w:rPr>
        <w:t>The fourth (green) column is for</w:t>
      </w:r>
      <w:r w:rsidR="0050773F">
        <w:rPr>
          <w:rFonts w:ascii="Times New Roman" w:eastAsia="Times New Roman" w:hAnsi="Times New Roman" w:cs="Times New Roman"/>
          <w:color w:val="000000" w:themeColor="text1"/>
          <w:sz w:val="24"/>
          <w:szCs w:val="24"/>
        </w:rPr>
        <w:t xml:space="preserve"> meter readings on </w:t>
      </w:r>
      <w:r w:rsidR="0083013E" w:rsidRPr="005364B3">
        <w:rPr>
          <w:rFonts w:ascii="Times New Roman" w:eastAsia="Times New Roman" w:hAnsi="Times New Roman" w:cs="Times New Roman"/>
          <w:color w:val="000000" w:themeColor="text1"/>
          <w:sz w:val="24"/>
          <w:szCs w:val="24"/>
        </w:rPr>
        <w:t>instruments that report exposure rates (</w:t>
      </w:r>
      <w:proofErr w:type="spellStart"/>
      <w:r w:rsidR="0083013E" w:rsidRPr="005364B3">
        <w:rPr>
          <w:rFonts w:ascii="Times New Roman" w:eastAsia="Times New Roman" w:hAnsi="Times New Roman" w:cs="Times New Roman"/>
          <w:color w:val="000000" w:themeColor="text1"/>
          <w:sz w:val="24"/>
          <w:szCs w:val="24"/>
        </w:rPr>
        <w:t>mR</w:t>
      </w:r>
      <w:proofErr w:type="spellEnd"/>
      <w:r w:rsidR="0083013E" w:rsidRPr="005364B3">
        <w:rPr>
          <w:rFonts w:ascii="Times New Roman" w:eastAsia="Times New Roman" w:hAnsi="Times New Roman" w:cs="Times New Roman"/>
          <w:color w:val="000000" w:themeColor="text1"/>
          <w:sz w:val="24"/>
          <w:szCs w:val="24"/>
        </w:rPr>
        <w:t>/hr</w:t>
      </w:r>
      <w:r w:rsidR="001E28D8" w:rsidRPr="005364B3">
        <w:rPr>
          <w:rFonts w:ascii="Times New Roman" w:eastAsia="Times New Roman" w:hAnsi="Times New Roman" w:cs="Times New Roman"/>
          <w:color w:val="000000" w:themeColor="text1"/>
          <w:sz w:val="24"/>
          <w:szCs w:val="24"/>
        </w:rPr>
        <w:t>).</w:t>
      </w:r>
    </w:p>
    <w:p w:rsidR="00495256" w:rsidRPr="00EE207E" w:rsidRDefault="00633B94" w:rsidP="001A5CD8">
      <w:pPr>
        <w:pStyle w:val="ListParagraph"/>
        <w:numPr>
          <w:ilvl w:val="0"/>
          <w:numId w:val="37"/>
        </w:numPr>
        <w:shd w:val="clear" w:color="auto" w:fill="FFFFFF"/>
        <w:spacing w:after="120" w:line="240" w:lineRule="auto"/>
        <w:ind w:left="360"/>
        <w:contextualSpacing w:val="0"/>
        <w:rPr>
          <w:rFonts w:ascii="Times New Roman" w:hAnsi="Times New Roman" w:cs="Times New Roman"/>
          <w:color w:val="FF0000"/>
          <w:kern w:val="32"/>
          <w:sz w:val="24"/>
          <w:szCs w:val="24"/>
        </w:rPr>
      </w:pPr>
      <w:r w:rsidRPr="00633B94">
        <w:rPr>
          <w:rFonts w:ascii="Times New Roman" w:hAnsi="Times New Roman" w:cs="Times New Roman"/>
          <w:noProof/>
          <w:color w:val="000000" w:themeColor="text1"/>
          <w:sz w:val="24"/>
          <w:szCs w:val="24"/>
        </w:rPr>
        <w:pict>
          <v:shapetype id="_x0000_t202" coordsize="21600,21600" o:spt="202" path="m,l,21600r21600,l21600,xe">
            <v:stroke joinstyle="miter"/>
            <v:path gradientshapeok="t" o:connecttype="rect"/>
          </v:shapetype>
          <v:shape id="Text Box 24" o:spid="_x0000_s1035" type="#_x0000_t202" style="position:absolute;left:0;text-align:left;margin-left:43.9pt;margin-top:67.5pt;width:376.5pt;height:49.35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" strokecolor="#00b050">
            <v:textbox style="mso-fit-shape-to-text:t">
              <w:txbxContent>
                <w:p w:rsidR="00282361" w:rsidRPr="00EB08EF" w:rsidRDefault="003F6766" w:rsidP="001E28D8">
                  <w:pPr>
                    <w:jc w:val="center"/>
                    <w:rPr>
                      <w:b/>
                    </w:rPr>
                  </w:pPr>
                  <w:r>
                    <w:rPr>
                      <w:b/>
                    </w:rPr>
                    <w:t>Hint:</w:t>
                  </w:r>
                  <w:r w:rsidR="00A42ECD">
                    <w:rPr>
                      <w:b/>
                    </w:rPr>
                    <w:t xml:space="preserve"> </w:t>
                  </w:r>
                  <w:r>
                    <w:rPr>
                      <w:b/>
                    </w:rPr>
                    <w:t xml:space="preserve">Controllers should </w:t>
                  </w:r>
                  <w:r w:rsidR="00282361" w:rsidRPr="00956DF7">
                    <w:rPr>
                      <w:b/>
                    </w:rPr>
                    <w:t xml:space="preserve">place a colored dot on the instruments prior to </w:t>
                  </w:r>
                  <w:r w:rsidR="001E28D8">
                    <w:rPr>
                      <w:b/>
                    </w:rPr>
                    <w:t>the start of the drill</w:t>
                  </w:r>
                  <w:r w:rsidR="00282361" w:rsidRPr="00956DF7">
                    <w:rPr>
                      <w:b/>
                    </w:rPr>
                    <w:t xml:space="preserve"> to easily identify the </w:t>
                  </w:r>
                  <w:r>
                    <w:rPr>
                      <w:b/>
                    </w:rPr>
                    <w:t xml:space="preserve">corresponding column, </w:t>
                  </w:r>
                  <w:r w:rsidRPr="00956DF7">
                    <w:rPr>
                      <w:b/>
                    </w:rPr>
                    <w:t>especially</w:t>
                  </w:r>
                  <w:r w:rsidR="00282361" w:rsidRPr="00956DF7">
                    <w:rPr>
                      <w:b/>
                    </w:rPr>
                    <w:t xml:space="preserve"> if a variety of instruments will be used</w:t>
                  </w:r>
                  <w:r w:rsidR="001E28D8">
                    <w:rPr>
                      <w:b/>
                    </w:rPr>
                    <w:t>.</w:t>
                  </w:r>
                </w:p>
              </w:txbxContent>
            </v:textbox>
            <w10:wrap type="square"/>
          </v:shape>
        </w:pict>
      </w:r>
      <w:r w:rsidR="005604BD" w:rsidRPr="005364B3">
        <w:rPr>
          <w:rFonts w:ascii="Times New Roman" w:hAnsi="Times New Roman" w:cs="Times New Roman"/>
          <w:color w:val="000000" w:themeColor="text1"/>
          <w:sz w:val="24"/>
          <w:szCs w:val="24"/>
        </w:rPr>
        <w:t>A nasal swab (or nose blown into a tissue) is counted to determine if internal contamination is likely. This is normally conducted when there is heavy contamination on the face</w:t>
      </w:r>
      <w:r w:rsidR="00DB7354">
        <w:rPr>
          <w:rFonts w:ascii="Times New Roman" w:hAnsi="Times New Roman" w:cs="Times New Roman"/>
          <w:color w:val="000000" w:themeColor="text1"/>
          <w:sz w:val="24"/>
          <w:szCs w:val="24"/>
        </w:rPr>
        <w:t>,</w:t>
      </w:r>
      <w:r w:rsidR="005604BD" w:rsidRPr="005364B3">
        <w:rPr>
          <w:rFonts w:ascii="Times New Roman" w:hAnsi="Times New Roman" w:cs="Times New Roman"/>
          <w:color w:val="000000" w:themeColor="text1"/>
          <w:sz w:val="24"/>
          <w:szCs w:val="24"/>
        </w:rPr>
        <w:t xml:space="preserve"> especially around the nose and mouth</w:t>
      </w:r>
      <w:r w:rsidR="00EE207E">
        <w:rPr>
          <w:rFonts w:ascii="Times New Roman" w:hAnsi="Times New Roman" w:cs="Times New Roman"/>
          <w:color w:val="000000" w:themeColor="text1"/>
          <w:sz w:val="24"/>
          <w:szCs w:val="24"/>
        </w:rPr>
        <w:t>.</w:t>
      </w:r>
    </w:p>
    <w:p w:rsidR="00EE207E" w:rsidRDefault="00EE207E" w:rsidP="00EE207E">
      <w:pPr>
        <w:shd w:val="clear" w:color="auto" w:fill="FFFFFF"/>
        <w:rPr>
          <w:color w:val="FF0000"/>
          <w:kern w:val="32"/>
        </w:rPr>
      </w:pPr>
    </w:p>
    <w:p w:rsidR="00EE207E" w:rsidRDefault="00EE207E" w:rsidP="00EE207E">
      <w:pPr>
        <w:shd w:val="clear" w:color="auto" w:fill="FFFFFF"/>
        <w:rPr>
          <w:color w:val="FF0000"/>
          <w:kern w:val="32"/>
        </w:rPr>
      </w:pPr>
    </w:p>
    <w:p w:rsidR="00EE207E" w:rsidRDefault="00EE207E" w:rsidP="00EE207E">
      <w:pPr>
        <w:shd w:val="clear" w:color="auto" w:fill="FFFFFF"/>
        <w:rPr>
          <w:color w:val="FF0000"/>
          <w:kern w:val="32"/>
        </w:rPr>
      </w:pPr>
    </w:p>
    <w:p w:rsidR="00EE207E" w:rsidRDefault="00EE207E" w:rsidP="00EE207E">
      <w:pPr>
        <w:shd w:val="clear" w:color="auto" w:fill="FFFFFF"/>
        <w:rPr>
          <w:color w:val="FF0000"/>
          <w:kern w:val="32"/>
        </w:rPr>
      </w:pPr>
    </w:p>
    <w:p w:rsidR="00EE207E" w:rsidRDefault="00EE207E" w:rsidP="00EE207E">
      <w:pPr>
        <w:shd w:val="clear" w:color="auto" w:fill="FFFFFF"/>
        <w:rPr>
          <w:color w:val="FF0000"/>
          <w:kern w:val="32"/>
        </w:rPr>
      </w:pPr>
    </w:p>
    <w:p w:rsidR="002F39BF" w:rsidRPr="00A427EE" w:rsidRDefault="002F39BF" w:rsidP="00AE6AF7">
      <w:pPr>
        <w:rPr>
          <w:color w:val="FF0000"/>
          <w:kern w:val="32"/>
        </w:rPr>
      </w:pPr>
    </w:p>
    <w:sectPr w:rsidR="002F39BF" w:rsidRPr="00A427EE" w:rsidSect="00707CC8">
      <w:pgSz w:w="12240" w:h="15840" w:code="1"/>
      <w:pgMar w:top="1440" w:right="1440" w:bottom="126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2664D9" w15:done="0"/>
  <w15:commentEx w15:paraId="7FF7E1A6" w15:done="0"/>
  <w15:commentEx w15:paraId="63989138" w15:done="0"/>
  <w15:commentEx w15:paraId="6F07EB2E" w15:done="0"/>
  <w15:commentEx w15:paraId="1DD63B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CC7" w:rsidRDefault="00ED4CC7" w:rsidP="00116D48">
      <w:r>
        <w:separator/>
      </w:r>
    </w:p>
  </w:endnote>
  <w:endnote w:type="continuationSeparator" w:id="0">
    <w:p w:rsidR="00ED4CC7" w:rsidRDefault="00ED4CC7" w:rsidP="0011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D7" w:rsidRDefault="002B3BD7" w:rsidP="00DF1FE1">
    <w:pPr>
      <w:pStyle w:val="Header"/>
      <w:pBdr>
        <w:top w:val="single" w:sz="8" w:space="1" w:color="000080"/>
      </w:pBdr>
      <w:tabs>
        <w:tab w:val="center" w:pos="4680"/>
      </w:tabs>
      <w:rPr>
        <w:sz w:val="18"/>
        <w:szCs w:val="18"/>
      </w:rPr>
    </w:pPr>
    <w:r w:rsidRPr="003536F2">
      <w:tab/>
    </w:r>
    <w:r w:rsidR="00633B94" w:rsidRPr="003536F2">
      <w:rPr>
        <w:rStyle w:val="PageNumber"/>
        <w:b w:val="0"/>
      </w:rPr>
      <w:fldChar w:fldCharType="begin"/>
    </w:r>
    <w:r w:rsidRPr="003536F2">
      <w:rPr>
        <w:rStyle w:val="PageNumber"/>
        <w:b w:val="0"/>
      </w:rPr>
      <w:instrText xml:space="preserve"> PAGE </w:instrText>
    </w:r>
    <w:r w:rsidR="00633B94" w:rsidRPr="003536F2">
      <w:rPr>
        <w:rStyle w:val="PageNumber"/>
        <w:b w:val="0"/>
      </w:rPr>
      <w:fldChar w:fldCharType="separate"/>
    </w:r>
    <w:r w:rsidR="000E0B27">
      <w:rPr>
        <w:rStyle w:val="PageNumber"/>
        <w:b w:val="0"/>
        <w:noProof/>
      </w:rPr>
      <w:t>4</w:t>
    </w:r>
    <w:r w:rsidR="00633B94" w:rsidRPr="003536F2">
      <w:rPr>
        <w:rStyle w:val="PageNumber"/>
        <w:b w:val="0"/>
      </w:rPr>
      <w:fldChar w:fldCharType="end"/>
    </w:r>
    <w:r w:rsidRPr="003536F2">
      <w:rPr>
        <w:rStyle w:val="PageNumber"/>
        <w:b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CC7" w:rsidRDefault="00ED4CC7" w:rsidP="00116D48">
      <w:r>
        <w:separator/>
      </w:r>
    </w:p>
  </w:footnote>
  <w:footnote w:type="continuationSeparator" w:id="0">
    <w:p w:rsidR="00ED4CC7" w:rsidRDefault="00ED4CC7" w:rsidP="00116D48">
      <w:r>
        <w:continuationSeparator/>
      </w:r>
    </w:p>
  </w:footnote>
  <w:footnote w:id="1">
    <w:p w:rsidR="00F52009" w:rsidRDefault="00F52009">
      <w:pPr>
        <w:pStyle w:val="FootnoteText"/>
      </w:pPr>
      <w:r>
        <w:rPr>
          <w:rStyle w:val="FootnoteReference"/>
        </w:rPr>
        <w:footnoteRef/>
      </w:r>
      <w:r>
        <w:t xml:space="preserve"> For </w:t>
      </w:r>
      <w:r w:rsidR="008E0088">
        <w:t xml:space="preserve">monitoring and decontamination drills under the Federal Emergency Management Agency’s </w:t>
      </w:r>
      <w:r>
        <w:t xml:space="preserve">Radiological Emergency Preparedness </w:t>
      </w:r>
      <w:r w:rsidR="008E0088">
        <w:t>Program for nuclear power plants</w:t>
      </w:r>
      <w:r>
        <w:t xml:space="preserve">, the ratio of contaminated persons is usually </w:t>
      </w:r>
      <w:r w:rsidR="008E0088">
        <w:t>about</w:t>
      </w:r>
      <w:r>
        <w:t xml:space="preserve"> 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CD" w:rsidRDefault="00EB68CD" w:rsidP="00EB68CD">
    <w:pPr>
      <w:pStyle w:val="Header"/>
      <w:pBdr>
        <w:bottom w:val="single" w:sz="4" w:space="0" w:color="000080"/>
      </w:pBdr>
      <w:spacing w:after="120"/>
    </w:pPr>
    <w:r>
      <w:t>CRC Drill Toolkit</w:t>
    </w:r>
    <w:r>
      <w:tab/>
      <w:t>Symptomology Card</w:t>
    </w:r>
    <w:r w:rsidR="00783E2A">
      <w:t xml:space="preserve"> Instruction</w:t>
    </w:r>
    <w: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nsid w:val="FFFFFF89"/>
    <w:multiLevelType w:val="singleLevel"/>
    <w:tmpl w:val="54629552"/>
    <w:lvl w:ilvl="0">
      <w:start w:val="1"/>
      <w:numFmt w:val="bullet"/>
      <w:pStyle w:val="ListBullet"/>
      <w:lvlText w:val=""/>
      <w:lvlJc w:val="left"/>
      <w:pPr>
        <w:tabs>
          <w:tab w:val="num" w:pos="720"/>
        </w:tabs>
        <w:ind w:left="720" w:hanging="360"/>
      </w:pPr>
      <w:rPr>
        <w:rFonts w:ascii="Symbol" w:hAnsi="Symbol" w:hint="default"/>
        <w:color w:val="1F497D"/>
      </w:rPr>
    </w:lvl>
  </w:abstractNum>
  <w:abstractNum w:abstractNumId="2">
    <w:nsid w:val="03092D2B"/>
    <w:multiLevelType w:val="hybridMultilevel"/>
    <w:tmpl w:val="F2D4431C"/>
    <w:lvl w:ilvl="0" w:tplc="B41886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5A6D5F"/>
    <w:multiLevelType w:val="hybridMultilevel"/>
    <w:tmpl w:val="5C441D50"/>
    <w:lvl w:ilvl="0" w:tplc="A7F605AA">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72A97"/>
    <w:multiLevelType w:val="hybridMultilevel"/>
    <w:tmpl w:val="93EADFC4"/>
    <w:lvl w:ilvl="0" w:tplc="A21A282C">
      <w:start w:val="1"/>
      <w:numFmt w:val="bullet"/>
      <w:lvlText w:val=""/>
      <w:lvlJc w:val="left"/>
      <w:pPr>
        <w:ind w:left="720" w:hanging="360"/>
      </w:pPr>
      <w:rPr>
        <w:rFonts w:ascii="Symbol" w:hAnsi="Symbol" w:hint="default"/>
        <w:color w:val="1F497D" w:themeColor="text2"/>
      </w:rPr>
    </w:lvl>
    <w:lvl w:ilvl="1" w:tplc="E2A0A1A8">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B64D5"/>
    <w:multiLevelType w:val="hybridMultilevel"/>
    <w:tmpl w:val="8968C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42DBF"/>
    <w:multiLevelType w:val="hybridMultilevel"/>
    <w:tmpl w:val="4322C4C8"/>
    <w:lvl w:ilvl="0" w:tplc="04090001">
      <w:start w:val="1"/>
      <w:numFmt w:val="bullet"/>
      <w:lvlText w:val=""/>
      <w:lvlJc w:val="left"/>
      <w:pPr>
        <w:ind w:left="720" w:hanging="360"/>
      </w:pPr>
      <w:rPr>
        <w:rFonts w:ascii="Symbol" w:hAnsi="Symbol" w:hint="default"/>
      </w:rPr>
    </w:lvl>
    <w:lvl w:ilvl="1" w:tplc="E9EC9EF0">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77375"/>
    <w:multiLevelType w:val="hybridMultilevel"/>
    <w:tmpl w:val="2D2C6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B0FBD"/>
    <w:multiLevelType w:val="hybridMultilevel"/>
    <w:tmpl w:val="39F84CF6"/>
    <w:lvl w:ilvl="0" w:tplc="0CEAE4C8">
      <w:start w:val="1"/>
      <w:numFmt w:val="bullet"/>
      <w:lvlText w:val=""/>
      <w:lvlJc w:val="left"/>
      <w:pPr>
        <w:ind w:left="720" w:hanging="360"/>
      </w:pPr>
      <w:rPr>
        <w:rFonts w:ascii="Symbol" w:hAnsi="Symbol" w:hint="default"/>
        <w:color w:val="0000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724A7"/>
    <w:multiLevelType w:val="hybridMultilevel"/>
    <w:tmpl w:val="6574A6C4"/>
    <w:lvl w:ilvl="0" w:tplc="A34039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B76A01"/>
    <w:multiLevelType w:val="hybridMultilevel"/>
    <w:tmpl w:val="C72EB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873FA"/>
    <w:multiLevelType w:val="hybridMultilevel"/>
    <w:tmpl w:val="8C9CB98A"/>
    <w:lvl w:ilvl="0" w:tplc="04090001">
      <w:start w:val="1"/>
      <w:numFmt w:val="bullet"/>
      <w:lvlText w:val=""/>
      <w:lvlJc w:val="left"/>
      <w:pPr>
        <w:ind w:left="720" w:hanging="360"/>
      </w:pPr>
      <w:rPr>
        <w:rFonts w:ascii="Symbol" w:hAnsi="Symbol" w:hint="default"/>
      </w:rPr>
    </w:lvl>
    <w:lvl w:ilvl="1" w:tplc="6F020ECE">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420C5"/>
    <w:multiLevelType w:val="hybridMultilevel"/>
    <w:tmpl w:val="5BECD6E8"/>
    <w:lvl w:ilvl="0" w:tplc="D3F27984">
      <w:start w:val="1"/>
      <w:numFmt w:val="bullet"/>
      <w:lvlText w:val=""/>
      <w:lvlJc w:val="left"/>
      <w:pPr>
        <w:ind w:left="720" w:hanging="360"/>
      </w:pPr>
      <w:rPr>
        <w:rFonts w:ascii="Symbol" w:hAnsi="Symbol" w:hint="default"/>
        <w:color w:val="1F497D" w:themeColor="text2"/>
      </w:rPr>
    </w:lvl>
    <w:lvl w:ilvl="1" w:tplc="2DDCAA6A">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BD6FA8"/>
    <w:multiLevelType w:val="hybridMultilevel"/>
    <w:tmpl w:val="4E2A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6576"/>
    <w:multiLevelType w:val="hybridMultilevel"/>
    <w:tmpl w:val="44A006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BD267C"/>
    <w:multiLevelType w:val="hybridMultilevel"/>
    <w:tmpl w:val="5BC6520A"/>
    <w:lvl w:ilvl="0" w:tplc="84ECE90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536550"/>
    <w:multiLevelType w:val="hybridMultilevel"/>
    <w:tmpl w:val="E4485B8A"/>
    <w:lvl w:ilvl="0" w:tplc="0CEAE4C8">
      <w:start w:val="1"/>
      <w:numFmt w:val="bullet"/>
      <w:lvlText w:val=""/>
      <w:lvlJc w:val="left"/>
      <w:pPr>
        <w:ind w:left="720" w:hanging="360"/>
      </w:pPr>
      <w:rPr>
        <w:rFonts w:ascii="Symbol" w:hAnsi="Symbol" w:hint="default"/>
        <w:color w:val="00008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5718B"/>
    <w:multiLevelType w:val="hybridMultilevel"/>
    <w:tmpl w:val="914A6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F6EB8"/>
    <w:multiLevelType w:val="hybridMultilevel"/>
    <w:tmpl w:val="98EC39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036F0D"/>
    <w:multiLevelType w:val="hybridMultilevel"/>
    <w:tmpl w:val="5596D038"/>
    <w:lvl w:ilvl="0" w:tplc="AFD63D52">
      <w:start w:val="6"/>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31574A"/>
    <w:multiLevelType w:val="hybridMultilevel"/>
    <w:tmpl w:val="02AE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75377"/>
    <w:multiLevelType w:val="hybridMultilevel"/>
    <w:tmpl w:val="9FA85B48"/>
    <w:lvl w:ilvl="0" w:tplc="EE0CDE3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A46E8"/>
    <w:multiLevelType w:val="hybridMultilevel"/>
    <w:tmpl w:val="C382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801DEC"/>
    <w:multiLevelType w:val="hybridMultilevel"/>
    <w:tmpl w:val="EFB48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BA5718"/>
    <w:multiLevelType w:val="hybridMultilevel"/>
    <w:tmpl w:val="93825776"/>
    <w:lvl w:ilvl="0" w:tplc="04090001">
      <w:start w:val="1"/>
      <w:numFmt w:val="bullet"/>
      <w:lvlText w:val=""/>
      <w:lvlJc w:val="left"/>
      <w:pPr>
        <w:ind w:left="720" w:hanging="360"/>
      </w:pPr>
      <w:rPr>
        <w:rFonts w:ascii="Symbol" w:hAnsi="Symbol" w:hint="default"/>
      </w:rPr>
    </w:lvl>
    <w:lvl w:ilvl="1" w:tplc="CC0C990E">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5E3037"/>
    <w:multiLevelType w:val="hybridMultilevel"/>
    <w:tmpl w:val="D636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0A6B3D"/>
    <w:multiLevelType w:val="hybridMultilevel"/>
    <w:tmpl w:val="D02CD030"/>
    <w:lvl w:ilvl="0" w:tplc="5882FA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8962DC"/>
    <w:multiLevelType w:val="hybridMultilevel"/>
    <w:tmpl w:val="9D1A740E"/>
    <w:lvl w:ilvl="0" w:tplc="C844520A">
      <w:start w:val="1"/>
      <w:numFmt w:val="bullet"/>
      <w:lvlText w:val=""/>
      <w:lvlJc w:val="left"/>
      <w:pPr>
        <w:ind w:left="720" w:hanging="360"/>
      </w:pPr>
      <w:rPr>
        <w:rFonts w:ascii="Symbol" w:hAnsi="Symbol" w:hint="default"/>
        <w:color w:val="1F497D" w:themeColor="text2"/>
      </w:rPr>
    </w:lvl>
    <w:lvl w:ilvl="1" w:tplc="E11A46B4">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DC291A"/>
    <w:multiLevelType w:val="hybridMultilevel"/>
    <w:tmpl w:val="1FAA09EC"/>
    <w:lvl w:ilvl="0" w:tplc="0A6E5C6C">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A2310"/>
    <w:multiLevelType w:val="hybridMultilevel"/>
    <w:tmpl w:val="89DC4BBC"/>
    <w:lvl w:ilvl="0" w:tplc="5A1082DA">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73B94514"/>
    <w:multiLevelType w:val="hybridMultilevel"/>
    <w:tmpl w:val="18F61B12"/>
    <w:lvl w:ilvl="0" w:tplc="DE342020">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E642E2"/>
    <w:multiLevelType w:val="hybridMultilevel"/>
    <w:tmpl w:val="500408C6"/>
    <w:lvl w:ilvl="0" w:tplc="EE0CDE3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EF532F"/>
    <w:multiLevelType w:val="hybridMultilevel"/>
    <w:tmpl w:val="0072797E"/>
    <w:lvl w:ilvl="0" w:tplc="5882FA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870DC0"/>
    <w:multiLevelType w:val="hybridMultilevel"/>
    <w:tmpl w:val="FCB407C0"/>
    <w:lvl w:ilvl="0" w:tplc="A7F605AA">
      <w:start w:val="1"/>
      <w:numFmt w:val="bullet"/>
      <w:lvlText w:val=""/>
      <w:lvlJc w:val="left"/>
      <w:pPr>
        <w:ind w:left="720" w:hanging="360"/>
      </w:pPr>
      <w:rPr>
        <w:rFonts w:ascii="Symbol" w:hAnsi="Symbol" w:hint="default"/>
        <w:color w:val="1F497D"/>
      </w:rPr>
    </w:lvl>
    <w:lvl w:ilvl="1" w:tplc="983CD984">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4507F4"/>
    <w:multiLevelType w:val="hybridMultilevel"/>
    <w:tmpl w:val="463CF4E0"/>
    <w:lvl w:ilvl="0" w:tplc="04090001">
      <w:start w:val="1"/>
      <w:numFmt w:val="bullet"/>
      <w:lvlText w:val=""/>
      <w:lvlJc w:val="left"/>
      <w:pPr>
        <w:ind w:left="720" w:hanging="360"/>
      </w:pPr>
      <w:rPr>
        <w:rFonts w:ascii="Symbol" w:hAnsi="Symbol" w:hint="default"/>
      </w:rPr>
    </w:lvl>
    <w:lvl w:ilvl="1" w:tplc="DD78C794">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0"/>
  </w:num>
  <w:num w:numId="4">
    <w:abstractNumId w:val="28"/>
  </w:num>
  <w:num w:numId="5">
    <w:abstractNumId w:val="27"/>
  </w:num>
  <w:num w:numId="6">
    <w:abstractNumId w:val="33"/>
  </w:num>
  <w:num w:numId="7">
    <w:abstractNumId w:val="34"/>
  </w:num>
  <w:num w:numId="8">
    <w:abstractNumId w:val="4"/>
  </w:num>
  <w:num w:numId="9">
    <w:abstractNumId w:val="31"/>
  </w:num>
  <w:num w:numId="10">
    <w:abstractNumId w:val="12"/>
  </w:num>
  <w:num w:numId="11">
    <w:abstractNumId w:val="29"/>
  </w:num>
  <w:num w:numId="12">
    <w:abstractNumId w:val="36"/>
  </w:num>
  <w:num w:numId="13">
    <w:abstractNumId w:val="6"/>
  </w:num>
  <w:num w:numId="14">
    <w:abstractNumId w:val="24"/>
  </w:num>
  <w:num w:numId="15">
    <w:abstractNumId w:val="11"/>
  </w:num>
  <w:num w:numId="16">
    <w:abstractNumId w:val="37"/>
  </w:num>
  <w:num w:numId="17">
    <w:abstractNumId w:val="3"/>
  </w:num>
  <w:num w:numId="18">
    <w:abstractNumId w:val="13"/>
  </w:num>
  <w:num w:numId="19">
    <w:abstractNumId w:val="21"/>
  </w:num>
  <w:num w:numId="20">
    <w:abstractNumId w:val="5"/>
  </w:num>
  <w:num w:numId="21">
    <w:abstractNumId w:val="15"/>
  </w:num>
  <w:num w:numId="22">
    <w:abstractNumId w:val="22"/>
  </w:num>
  <w:num w:numId="23">
    <w:abstractNumId w:val="32"/>
  </w:num>
  <w:num w:numId="24">
    <w:abstractNumId w:val="26"/>
  </w:num>
  <w:num w:numId="25">
    <w:abstractNumId w:val="35"/>
  </w:num>
  <w:num w:numId="26">
    <w:abstractNumId w:val="20"/>
  </w:num>
  <w:num w:numId="27">
    <w:abstractNumId w:val="17"/>
  </w:num>
  <w:num w:numId="28">
    <w:abstractNumId w:val="9"/>
  </w:num>
  <w:num w:numId="29">
    <w:abstractNumId w:val="23"/>
  </w:num>
  <w:num w:numId="30">
    <w:abstractNumId w:val="8"/>
  </w:num>
  <w:num w:numId="31">
    <w:abstractNumId w:val="7"/>
  </w:num>
  <w:num w:numId="32">
    <w:abstractNumId w:val="14"/>
  </w:num>
  <w:num w:numId="33">
    <w:abstractNumId w:val="18"/>
  </w:num>
  <w:num w:numId="34">
    <w:abstractNumId w:val="10"/>
  </w:num>
  <w:num w:numId="35">
    <w:abstractNumId w:val="2"/>
  </w:num>
  <w:num w:numId="36">
    <w:abstractNumId w:val="25"/>
  </w:num>
  <w:num w:numId="37">
    <w:abstractNumId w:val="19"/>
  </w:num>
  <w:num w:numId="3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116D48"/>
    <w:rsid w:val="00011F2A"/>
    <w:rsid w:val="00017C9A"/>
    <w:rsid w:val="00020476"/>
    <w:rsid w:val="000214D7"/>
    <w:rsid w:val="0003069C"/>
    <w:rsid w:val="00033916"/>
    <w:rsid w:val="00035002"/>
    <w:rsid w:val="0004441B"/>
    <w:rsid w:val="000532E0"/>
    <w:rsid w:val="000558C0"/>
    <w:rsid w:val="00055900"/>
    <w:rsid w:val="000563D7"/>
    <w:rsid w:val="00056D34"/>
    <w:rsid w:val="000619E8"/>
    <w:rsid w:val="0006298D"/>
    <w:rsid w:val="0006509F"/>
    <w:rsid w:val="00076956"/>
    <w:rsid w:val="00081141"/>
    <w:rsid w:val="000850FB"/>
    <w:rsid w:val="000866B9"/>
    <w:rsid w:val="000921C0"/>
    <w:rsid w:val="00093AC2"/>
    <w:rsid w:val="00095B00"/>
    <w:rsid w:val="000A6B8D"/>
    <w:rsid w:val="000A7E9C"/>
    <w:rsid w:val="000B205E"/>
    <w:rsid w:val="000B2C55"/>
    <w:rsid w:val="000B77E3"/>
    <w:rsid w:val="000B7A9A"/>
    <w:rsid w:val="000C06C1"/>
    <w:rsid w:val="000C0C08"/>
    <w:rsid w:val="000C2296"/>
    <w:rsid w:val="000C2B31"/>
    <w:rsid w:val="000C5026"/>
    <w:rsid w:val="000D0CF4"/>
    <w:rsid w:val="000D1230"/>
    <w:rsid w:val="000D418E"/>
    <w:rsid w:val="000D6E78"/>
    <w:rsid w:val="000D7FD7"/>
    <w:rsid w:val="000E0B27"/>
    <w:rsid w:val="000E32A6"/>
    <w:rsid w:val="000E44EB"/>
    <w:rsid w:val="000E5C1B"/>
    <w:rsid w:val="000F2782"/>
    <w:rsid w:val="000F3EBA"/>
    <w:rsid w:val="000F7B18"/>
    <w:rsid w:val="001020D1"/>
    <w:rsid w:val="001038E6"/>
    <w:rsid w:val="00107D84"/>
    <w:rsid w:val="00115EAB"/>
    <w:rsid w:val="00116D48"/>
    <w:rsid w:val="00126A4C"/>
    <w:rsid w:val="00134781"/>
    <w:rsid w:val="00142832"/>
    <w:rsid w:val="00144D60"/>
    <w:rsid w:val="00147D22"/>
    <w:rsid w:val="00157B4E"/>
    <w:rsid w:val="001623DD"/>
    <w:rsid w:val="001655DA"/>
    <w:rsid w:val="00167858"/>
    <w:rsid w:val="0017062F"/>
    <w:rsid w:val="001707F7"/>
    <w:rsid w:val="00176D18"/>
    <w:rsid w:val="00177713"/>
    <w:rsid w:val="00177955"/>
    <w:rsid w:val="001859DE"/>
    <w:rsid w:val="001911FE"/>
    <w:rsid w:val="00192034"/>
    <w:rsid w:val="001963C3"/>
    <w:rsid w:val="001A24B9"/>
    <w:rsid w:val="001A5CD8"/>
    <w:rsid w:val="001A6815"/>
    <w:rsid w:val="001B33A0"/>
    <w:rsid w:val="001B3551"/>
    <w:rsid w:val="001B4473"/>
    <w:rsid w:val="001B48E8"/>
    <w:rsid w:val="001B5824"/>
    <w:rsid w:val="001B71A4"/>
    <w:rsid w:val="001C6978"/>
    <w:rsid w:val="001D2797"/>
    <w:rsid w:val="001D4ECD"/>
    <w:rsid w:val="001D5B88"/>
    <w:rsid w:val="001E12FA"/>
    <w:rsid w:val="001E28D8"/>
    <w:rsid w:val="001E38D7"/>
    <w:rsid w:val="001E5D25"/>
    <w:rsid w:val="001F0045"/>
    <w:rsid w:val="001F6B49"/>
    <w:rsid w:val="001F71A0"/>
    <w:rsid w:val="001F7569"/>
    <w:rsid w:val="00204EAB"/>
    <w:rsid w:val="00206A20"/>
    <w:rsid w:val="00210537"/>
    <w:rsid w:val="00212E69"/>
    <w:rsid w:val="00223FC3"/>
    <w:rsid w:val="00230C36"/>
    <w:rsid w:val="0023371D"/>
    <w:rsid w:val="002353DA"/>
    <w:rsid w:val="002356C3"/>
    <w:rsid w:val="0024424A"/>
    <w:rsid w:val="00244EED"/>
    <w:rsid w:val="00257505"/>
    <w:rsid w:val="00272FF2"/>
    <w:rsid w:val="00282361"/>
    <w:rsid w:val="002854F6"/>
    <w:rsid w:val="0028671D"/>
    <w:rsid w:val="00295C29"/>
    <w:rsid w:val="002A0096"/>
    <w:rsid w:val="002A1512"/>
    <w:rsid w:val="002A2544"/>
    <w:rsid w:val="002A2910"/>
    <w:rsid w:val="002A5556"/>
    <w:rsid w:val="002A58AF"/>
    <w:rsid w:val="002A5A3D"/>
    <w:rsid w:val="002A5D80"/>
    <w:rsid w:val="002B2631"/>
    <w:rsid w:val="002B3BD7"/>
    <w:rsid w:val="002B3E1C"/>
    <w:rsid w:val="002B4C60"/>
    <w:rsid w:val="002B4F51"/>
    <w:rsid w:val="002B610B"/>
    <w:rsid w:val="002B6CBA"/>
    <w:rsid w:val="002C313F"/>
    <w:rsid w:val="002C75CF"/>
    <w:rsid w:val="002D13B0"/>
    <w:rsid w:val="002D18D9"/>
    <w:rsid w:val="002D24E3"/>
    <w:rsid w:val="002D331B"/>
    <w:rsid w:val="002D3B3D"/>
    <w:rsid w:val="002D43B7"/>
    <w:rsid w:val="002D792C"/>
    <w:rsid w:val="002E69B6"/>
    <w:rsid w:val="002F28FA"/>
    <w:rsid w:val="002F39BF"/>
    <w:rsid w:val="002F6C55"/>
    <w:rsid w:val="00300313"/>
    <w:rsid w:val="00305ED5"/>
    <w:rsid w:val="00312847"/>
    <w:rsid w:val="0031409A"/>
    <w:rsid w:val="0031563A"/>
    <w:rsid w:val="00320439"/>
    <w:rsid w:val="00327029"/>
    <w:rsid w:val="003369C3"/>
    <w:rsid w:val="00350C1E"/>
    <w:rsid w:val="00353EF9"/>
    <w:rsid w:val="00360A30"/>
    <w:rsid w:val="003662F5"/>
    <w:rsid w:val="003707C6"/>
    <w:rsid w:val="00372218"/>
    <w:rsid w:val="003757DC"/>
    <w:rsid w:val="003760B7"/>
    <w:rsid w:val="00376400"/>
    <w:rsid w:val="003844AE"/>
    <w:rsid w:val="00384D89"/>
    <w:rsid w:val="00386913"/>
    <w:rsid w:val="003A221E"/>
    <w:rsid w:val="003A47C1"/>
    <w:rsid w:val="003A6618"/>
    <w:rsid w:val="003A7002"/>
    <w:rsid w:val="003B5587"/>
    <w:rsid w:val="003B69BE"/>
    <w:rsid w:val="003C3E7F"/>
    <w:rsid w:val="003D2274"/>
    <w:rsid w:val="003D2E0C"/>
    <w:rsid w:val="003E2938"/>
    <w:rsid w:val="003F3478"/>
    <w:rsid w:val="003F6766"/>
    <w:rsid w:val="0040190F"/>
    <w:rsid w:val="0040404A"/>
    <w:rsid w:val="004109FB"/>
    <w:rsid w:val="00416F2C"/>
    <w:rsid w:val="004175E2"/>
    <w:rsid w:val="00417903"/>
    <w:rsid w:val="004206FC"/>
    <w:rsid w:val="004265ED"/>
    <w:rsid w:val="00426ADB"/>
    <w:rsid w:val="0043139D"/>
    <w:rsid w:val="0044577C"/>
    <w:rsid w:val="00452717"/>
    <w:rsid w:val="00454188"/>
    <w:rsid w:val="004600E6"/>
    <w:rsid w:val="00460A13"/>
    <w:rsid w:val="004640B7"/>
    <w:rsid w:val="0046453F"/>
    <w:rsid w:val="00481492"/>
    <w:rsid w:val="00483D58"/>
    <w:rsid w:val="00490651"/>
    <w:rsid w:val="0049150A"/>
    <w:rsid w:val="00495256"/>
    <w:rsid w:val="0049639C"/>
    <w:rsid w:val="004A7377"/>
    <w:rsid w:val="004B023A"/>
    <w:rsid w:val="004B7D16"/>
    <w:rsid w:val="004C0BCE"/>
    <w:rsid w:val="004C2E65"/>
    <w:rsid w:val="004C7E92"/>
    <w:rsid w:val="004D4ECD"/>
    <w:rsid w:val="004E06A2"/>
    <w:rsid w:val="004E2A71"/>
    <w:rsid w:val="004E2F7D"/>
    <w:rsid w:val="004F110B"/>
    <w:rsid w:val="004F326C"/>
    <w:rsid w:val="004F532B"/>
    <w:rsid w:val="004F7DD4"/>
    <w:rsid w:val="005018E2"/>
    <w:rsid w:val="0050773F"/>
    <w:rsid w:val="00507C55"/>
    <w:rsid w:val="005203E2"/>
    <w:rsid w:val="00523015"/>
    <w:rsid w:val="0052469F"/>
    <w:rsid w:val="00532F4E"/>
    <w:rsid w:val="00533397"/>
    <w:rsid w:val="005364B3"/>
    <w:rsid w:val="00546A4E"/>
    <w:rsid w:val="00550476"/>
    <w:rsid w:val="005514E9"/>
    <w:rsid w:val="005604BD"/>
    <w:rsid w:val="00565A2A"/>
    <w:rsid w:val="00566798"/>
    <w:rsid w:val="0057272B"/>
    <w:rsid w:val="00576061"/>
    <w:rsid w:val="0058299C"/>
    <w:rsid w:val="005858F2"/>
    <w:rsid w:val="00596B60"/>
    <w:rsid w:val="00596EB0"/>
    <w:rsid w:val="005A7974"/>
    <w:rsid w:val="005B4A7E"/>
    <w:rsid w:val="005B6114"/>
    <w:rsid w:val="005C707A"/>
    <w:rsid w:val="005D3002"/>
    <w:rsid w:val="005D4197"/>
    <w:rsid w:val="005F0167"/>
    <w:rsid w:val="005F1D50"/>
    <w:rsid w:val="005F4E4A"/>
    <w:rsid w:val="00603ECF"/>
    <w:rsid w:val="00614F57"/>
    <w:rsid w:val="00616744"/>
    <w:rsid w:val="00624786"/>
    <w:rsid w:val="0062551D"/>
    <w:rsid w:val="00633B94"/>
    <w:rsid w:val="00640C02"/>
    <w:rsid w:val="00650C46"/>
    <w:rsid w:val="0065212B"/>
    <w:rsid w:val="00652337"/>
    <w:rsid w:val="00652A8F"/>
    <w:rsid w:val="00657735"/>
    <w:rsid w:val="0066162D"/>
    <w:rsid w:val="0066321C"/>
    <w:rsid w:val="00677FD3"/>
    <w:rsid w:val="00682182"/>
    <w:rsid w:val="00691479"/>
    <w:rsid w:val="00697585"/>
    <w:rsid w:val="006A1B9D"/>
    <w:rsid w:val="006A52E5"/>
    <w:rsid w:val="006B0879"/>
    <w:rsid w:val="006B717A"/>
    <w:rsid w:val="006B77D2"/>
    <w:rsid w:val="006E2308"/>
    <w:rsid w:val="006E6BD6"/>
    <w:rsid w:val="006F3247"/>
    <w:rsid w:val="00701D12"/>
    <w:rsid w:val="00705913"/>
    <w:rsid w:val="00707949"/>
    <w:rsid w:val="00707CC8"/>
    <w:rsid w:val="00711DE9"/>
    <w:rsid w:val="00723A64"/>
    <w:rsid w:val="007276C0"/>
    <w:rsid w:val="007301EF"/>
    <w:rsid w:val="0073363E"/>
    <w:rsid w:val="0073549B"/>
    <w:rsid w:val="00742680"/>
    <w:rsid w:val="00755E99"/>
    <w:rsid w:val="00761AB5"/>
    <w:rsid w:val="00762875"/>
    <w:rsid w:val="00763E67"/>
    <w:rsid w:val="00764341"/>
    <w:rsid w:val="00764D90"/>
    <w:rsid w:val="00783E2A"/>
    <w:rsid w:val="00790B7B"/>
    <w:rsid w:val="00795CD2"/>
    <w:rsid w:val="007A0C0B"/>
    <w:rsid w:val="007A32B1"/>
    <w:rsid w:val="007B0F38"/>
    <w:rsid w:val="007B28FD"/>
    <w:rsid w:val="007C3325"/>
    <w:rsid w:val="007D1B40"/>
    <w:rsid w:val="007D3A14"/>
    <w:rsid w:val="007D5C3A"/>
    <w:rsid w:val="007E3DC5"/>
    <w:rsid w:val="007E3F2B"/>
    <w:rsid w:val="007E6432"/>
    <w:rsid w:val="007E7D85"/>
    <w:rsid w:val="007F061B"/>
    <w:rsid w:val="007F1F0F"/>
    <w:rsid w:val="007F439D"/>
    <w:rsid w:val="007F5968"/>
    <w:rsid w:val="008007BD"/>
    <w:rsid w:val="008031B4"/>
    <w:rsid w:val="008047EC"/>
    <w:rsid w:val="008218DC"/>
    <w:rsid w:val="008224C5"/>
    <w:rsid w:val="00823017"/>
    <w:rsid w:val="0082579C"/>
    <w:rsid w:val="0083013E"/>
    <w:rsid w:val="008316C6"/>
    <w:rsid w:val="008361A2"/>
    <w:rsid w:val="00845196"/>
    <w:rsid w:val="00847095"/>
    <w:rsid w:val="00850DD5"/>
    <w:rsid w:val="0085324D"/>
    <w:rsid w:val="00853864"/>
    <w:rsid w:val="00856650"/>
    <w:rsid w:val="00861782"/>
    <w:rsid w:val="00864821"/>
    <w:rsid w:val="00874FD7"/>
    <w:rsid w:val="0088027D"/>
    <w:rsid w:val="00881D61"/>
    <w:rsid w:val="008875F4"/>
    <w:rsid w:val="00891545"/>
    <w:rsid w:val="0089158E"/>
    <w:rsid w:val="00893FBE"/>
    <w:rsid w:val="00894B9E"/>
    <w:rsid w:val="008A1C0B"/>
    <w:rsid w:val="008A2B21"/>
    <w:rsid w:val="008A36CA"/>
    <w:rsid w:val="008A3B59"/>
    <w:rsid w:val="008B4A88"/>
    <w:rsid w:val="008B6D79"/>
    <w:rsid w:val="008B6E80"/>
    <w:rsid w:val="008C1D8F"/>
    <w:rsid w:val="008C434E"/>
    <w:rsid w:val="008C6243"/>
    <w:rsid w:val="008D1E5C"/>
    <w:rsid w:val="008D244C"/>
    <w:rsid w:val="008D2B13"/>
    <w:rsid w:val="008D37CE"/>
    <w:rsid w:val="008D3F68"/>
    <w:rsid w:val="008D6580"/>
    <w:rsid w:val="008E0088"/>
    <w:rsid w:val="008E196D"/>
    <w:rsid w:val="008E4F18"/>
    <w:rsid w:val="008E6C03"/>
    <w:rsid w:val="008E7380"/>
    <w:rsid w:val="008E7B64"/>
    <w:rsid w:val="008F54C3"/>
    <w:rsid w:val="00901E5F"/>
    <w:rsid w:val="00904A26"/>
    <w:rsid w:val="00906332"/>
    <w:rsid w:val="0091090D"/>
    <w:rsid w:val="009249A6"/>
    <w:rsid w:val="00925171"/>
    <w:rsid w:val="00926D13"/>
    <w:rsid w:val="00931A43"/>
    <w:rsid w:val="0094126D"/>
    <w:rsid w:val="009434EB"/>
    <w:rsid w:val="00945F0F"/>
    <w:rsid w:val="009537A1"/>
    <w:rsid w:val="00954941"/>
    <w:rsid w:val="00961418"/>
    <w:rsid w:val="00967256"/>
    <w:rsid w:val="009853A2"/>
    <w:rsid w:val="009866B5"/>
    <w:rsid w:val="00986CBF"/>
    <w:rsid w:val="009947AE"/>
    <w:rsid w:val="00996B02"/>
    <w:rsid w:val="00996EAC"/>
    <w:rsid w:val="00997579"/>
    <w:rsid w:val="009A603F"/>
    <w:rsid w:val="009A7E5B"/>
    <w:rsid w:val="009B74CD"/>
    <w:rsid w:val="009C3D12"/>
    <w:rsid w:val="009D11D2"/>
    <w:rsid w:val="009D306A"/>
    <w:rsid w:val="009D6811"/>
    <w:rsid w:val="009D6E59"/>
    <w:rsid w:val="009E0644"/>
    <w:rsid w:val="009E09D2"/>
    <w:rsid w:val="009E4097"/>
    <w:rsid w:val="009F33D8"/>
    <w:rsid w:val="00A002A3"/>
    <w:rsid w:val="00A103D8"/>
    <w:rsid w:val="00A142FA"/>
    <w:rsid w:val="00A22E6D"/>
    <w:rsid w:val="00A2751E"/>
    <w:rsid w:val="00A343A4"/>
    <w:rsid w:val="00A3505C"/>
    <w:rsid w:val="00A427EE"/>
    <w:rsid w:val="00A42ECD"/>
    <w:rsid w:val="00A43A33"/>
    <w:rsid w:val="00A43D18"/>
    <w:rsid w:val="00A43E5C"/>
    <w:rsid w:val="00A4611C"/>
    <w:rsid w:val="00A505B8"/>
    <w:rsid w:val="00A51EA7"/>
    <w:rsid w:val="00A51FAB"/>
    <w:rsid w:val="00A55121"/>
    <w:rsid w:val="00A73B93"/>
    <w:rsid w:val="00A74951"/>
    <w:rsid w:val="00A74C20"/>
    <w:rsid w:val="00A75B1A"/>
    <w:rsid w:val="00A75BCA"/>
    <w:rsid w:val="00A75CDD"/>
    <w:rsid w:val="00A83003"/>
    <w:rsid w:val="00A84281"/>
    <w:rsid w:val="00A8612B"/>
    <w:rsid w:val="00A869D1"/>
    <w:rsid w:val="00A86AD8"/>
    <w:rsid w:val="00A8708E"/>
    <w:rsid w:val="00A930AC"/>
    <w:rsid w:val="00A96C03"/>
    <w:rsid w:val="00AA4135"/>
    <w:rsid w:val="00AA5FD1"/>
    <w:rsid w:val="00AA6F8B"/>
    <w:rsid w:val="00AA7866"/>
    <w:rsid w:val="00AB2997"/>
    <w:rsid w:val="00AB7F4A"/>
    <w:rsid w:val="00AD4CD3"/>
    <w:rsid w:val="00AD7263"/>
    <w:rsid w:val="00AE6AF7"/>
    <w:rsid w:val="00AF2D34"/>
    <w:rsid w:val="00AF368F"/>
    <w:rsid w:val="00AF696A"/>
    <w:rsid w:val="00AF75DC"/>
    <w:rsid w:val="00B06C08"/>
    <w:rsid w:val="00B073DA"/>
    <w:rsid w:val="00B13C21"/>
    <w:rsid w:val="00B151A1"/>
    <w:rsid w:val="00B15423"/>
    <w:rsid w:val="00B1767F"/>
    <w:rsid w:val="00B177F6"/>
    <w:rsid w:val="00B1790F"/>
    <w:rsid w:val="00B2586E"/>
    <w:rsid w:val="00B3566F"/>
    <w:rsid w:val="00B36ADA"/>
    <w:rsid w:val="00B37E16"/>
    <w:rsid w:val="00B41F19"/>
    <w:rsid w:val="00B52472"/>
    <w:rsid w:val="00B546CA"/>
    <w:rsid w:val="00B549D8"/>
    <w:rsid w:val="00B617AF"/>
    <w:rsid w:val="00B73779"/>
    <w:rsid w:val="00B81760"/>
    <w:rsid w:val="00B84C72"/>
    <w:rsid w:val="00B87612"/>
    <w:rsid w:val="00B938AF"/>
    <w:rsid w:val="00B94025"/>
    <w:rsid w:val="00B94968"/>
    <w:rsid w:val="00B94C93"/>
    <w:rsid w:val="00B95388"/>
    <w:rsid w:val="00B958C2"/>
    <w:rsid w:val="00B95D87"/>
    <w:rsid w:val="00B971FE"/>
    <w:rsid w:val="00BA1852"/>
    <w:rsid w:val="00BA6CB4"/>
    <w:rsid w:val="00BA7663"/>
    <w:rsid w:val="00BB0E22"/>
    <w:rsid w:val="00BC1958"/>
    <w:rsid w:val="00BC453F"/>
    <w:rsid w:val="00BD00B8"/>
    <w:rsid w:val="00BD0631"/>
    <w:rsid w:val="00BD7E74"/>
    <w:rsid w:val="00BE4726"/>
    <w:rsid w:val="00BE4D17"/>
    <w:rsid w:val="00BE5755"/>
    <w:rsid w:val="00BE6309"/>
    <w:rsid w:val="00BF28DC"/>
    <w:rsid w:val="00C00CAA"/>
    <w:rsid w:val="00C048AC"/>
    <w:rsid w:val="00C05930"/>
    <w:rsid w:val="00C071A4"/>
    <w:rsid w:val="00C11DD0"/>
    <w:rsid w:val="00C13EAD"/>
    <w:rsid w:val="00C14CAA"/>
    <w:rsid w:val="00C23B3C"/>
    <w:rsid w:val="00C25DE8"/>
    <w:rsid w:val="00C27904"/>
    <w:rsid w:val="00C30587"/>
    <w:rsid w:val="00C32A00"/>
    <w:rsid w:val="00C3512A"/>
    <w:rsid w:val="00C407EC"/>
    <w:rsid w:val="00C441BD"/>
    <w:rsid w:val="00C461F5"/>
    <w:rsid w:val="00C46D0E"/>
    <w:rsid w:val="00C47FB1"/>
    <w:rsid w:val="00C537AF"/>
    <w:rsid w:val="00C54577"/>
    <w:rsid w:val="00C557AA"/>
    <w:rsid w:val="00C57B68"/>
    <w:rsid w:val="00C66277"/>
    <w:rsid w:val="00C70827"/>
    <w:rsid w:val="00C76BAA"/>
    <w:rsid w:val="00C81A9C"/>
    <w:rsid w:val="00C81E1D"/>
    <w:rsid w:val="00C85CA5"/>
    <w:rsid w:val="00C86799"/>
    <w:rsid w:val="00C87772"/>
    <w:rsid w:val="00C87813"/>
    <w:rsid w:val="00C92F6E"/>
    <w:rsid w:val="00C94561"/>
    <w:rsid w:val="00CA302D"/>
    <w:rsid w:val="00CA7A76"/>
    <w:rsid w:val="00CB2B1F"/>
    <w:rsid w:val="00CB5272"/>
    <w:rsid w:val="00CB71DD"/>
    <w:rsid w:val="00CC3647"/>
    <w:rsid w:val="00CD02DE"/>
    <w:rsid w:val="00CD3F6F"/>
    <w:rsid w:val="00CD56BB"/>
    <w:rsid w:val="00CE2FD6"/>
    <w:rsid w:val="00CE3B51"/>
    <w:rsid w:val="00CF0CC4"/>
    <w:rsid w:val="00CF1972"/>
    <w:rsid w:val="00CF1B3D"/>
    <w:rsid w:val="00CF482C"/>
    <w:rsid w:val="00CF6598"/>
    <w:rsid w:val="00CF65A7"/>
    <w:rsid w:val="00CF6EFC"/>
    <w:rsid w:val="00D039DE"/>
    <w:rsid w:val="00D053F9"/>
    <w:rsid w:val="00D060CD"/>
    <w:rsid w:val="00D106E7"/>
    <w:rsid w:val="00D106EF"/>
    <w:rsid w:val="00D14C25"/>
    <w:rsid w:val="00D14FDA"/>
    <w:rsid w:val="00D16223"/>
    <w:rsid w:val="00D22995"/>
    <w:rsid w:val="00D306E5"/>
    <w:rsid w:val="00D45A7B"/>
    <w:rsid w:val="00D46C0C"/>
    <w:rsid w:val="00D500A2"/>
    <w:rsid w:val="00D577E5"/>
    <w:rsid w:val="00D60C10"/>
    <w:rsid w:val="00D6119A"/>
    <w:rsid w:val="00D6702B"/>
    <w:rsid w:val="00D726A3"/>
    <w:rsid w:val="00D760B0"/>
    <w:rsid w:val="00D80481"/>
    <w:rsid w:val="00D80B10"/>
    <w:rsid w:val="00D81B0B"/>
    <w:rsid w:val="00D821FD"/>
    <w:rsid w:val="00D85BF5"/>
    <w:rsid w:val="00D86321"/>
    <w:rsid w:val="00D95627"/>
    <w:rsid w:val="00D97644"/>
    <w:rsid w:val="00DB12E4"/>
    <w:rsid w:val="00DB2EBD"/>
    <w:rsid w:val="00DB6E53"/>
    <w:rsid w:val="00DB7354"/>
    <w:rsid w:val="00DC0164"/>
    <w:rsid w:val="00DC2CCF"/>
    <w:rsid w:val="00DC4230"/>
    <w:rsid w:val="00DD1242"/>
    <w:rsid w:val="00DD3CEA"/>
    <w:rsid w:val="00DD45A2"/>
    <w:rsid w:val="00DD583C"/>
    <w:rsid w:val="00DF1FE1"/>
    <w:rsid w:val="00DF4A67"/>
    <w:rsid w:val="00DF7C39"/>
    <w:rsid w:val="00E03E53"/>
    <w:rsid w:val="00E042B0"/>
    <w:rsid w:val="00E078E7"/>
    <w:rsid w:val="00E15459"/>
    <w:rsid w:val="00E213B4"/>
    <w:rsid w:val="00E22CAB"/>
    <w:rsid w:val="00E27F3A"/>
    <w:rsid w:val="00E33F4C"/>
    <w:rsid w:val="00E3647B"/>
    <w:rsid w:val="00E414A1"/>
    <w:rsid w:val="00E42FF8"/>
    <w:rsid w:val="00E43215"/>
    <w:rsid w:val="00E47025"/>
    <w:rsid w:val="00E54D72"/>
    <w:rsid w:val="00E570C2"/>
    <w:rsid w:val="00E57E00"/>
    <w:rsid w:val="00E6069E"/>
    <w:rsid w:val="00E61A79"/>
    <w:rsid w:val="00E64FB1"/>
    <w:rsid w:val="00E67130"/>
    <w:rsid w:val="00E8168A"/>
    <w:rsid w:val="00E83632"/>
    <w:rsid w:val="00E84A01"/>
    <w:rsid w:val="00EB014C"/>
    <w:rsid w:val="00EB08EF"/>
    <w:rsid w:val="00EB1099"/>
    <w:rsid w:val="00EB68CD"/>
    <w:rsid w:val="00EC6B4E"/>
    <w:rsid w:val="00EC7409"/>
    <w:rsid w:val="00ED2316"/>
    <w:rsid w:val="00ED493B"/>
    <w:rsid w:val="00ED4CC7"/>
    <w:rsid w:val="00EE207E"/>
    <w:rsid w:val="00EE26C8"/>
    <w:rsid w:val="00EE6EA3"/>
    <w:rsid w:val="00EE73FD"/>
    <w:rsid w:val="00EE75EE"/>
    <w:rsid w:val="00EF27BA"/>
    <w:rsid w:val="00EF2A3A"/>
    <w:rsid w:val="00EF3601"/>
    <w:rsid w:val="00EF3C3D"/>
    <w:rsid w:val="00EF7909"/>
    <w:rsid w:val="00F1485A"/>
    <w:rsid w:val="00F148CB"/>
    <w:rsid w:val="00F15968"/>
    <w:rsid w:val="00F16080"/>
    <w:rsid w:val="00F16917"/>
    <w:rsid w:val="00F20C25"/>
    <w:rsid w:val="00F25BE1"/>
    <w:rsid w:val="00F26C0A"/>
    <w:rsid w:val="00F33C1A"/>
    <w:rsid w:val="00F34236"/>
    <w:rsid w:val="00F42A7C"/>
    <w:rsid w:val="00F44308"/>
    <w:rsid w:val="00F50503"/>
    <w:rsid w:val="00F52009"/>
    <w:rsid w:val="00F5464A"/>
    <w:rsid w:val="00F54B4C"/>
    <w:rsid w:val="00F559A9"/>
    <w:rsid w:val="00F6488F"/>
    <w:rsid w:val="00F701F5"/>
    <w:rsid w:val="00F87542"/>
    <w:rsid w:val="00F875F0"/>
    <w:rsid w:val="00F95605"/>
    <w:rsid w:val="00F957ED"/>
    <w:rsid w:val="00FA6E07"/>
    <w:rsid w:val="00FB2801"/>
    <w:rsid w:val="00FB7C15"/>
    <w:rsid w:val="00FC3E0C"/>
    <w:rsid w:val="00FC605E"/>
    <w:rsid w:val="00FD189C"/>
    <w:rsid w:val="00FD1B24"/>
    <w:rsid w:val="00FD6365"/>
    <w:rsid w:val="00FE3763"/>
    <w:rsid w:val="00FF126A"/>
    <w:rsid w:val="00FF2F24"/>
    <w:rsid w:val="00FF3F60"/>
    <w:rsid w:val="00FF5D2C"/>
    <w:rsid w:val="00FF7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783E2A"/>
    <w:pPr>
      <w:widowControl w:val="0"/>
      <w:numPr>
        <w:ilvl w:val="1"/>
      </w:numPr>
      <w:autoSpaceDE w:val="0"/>
      <w:autoSpaceDN w:val="0"/>
      <w:adjustRightInd w:val="0"/>
    </w:pPr>
    <w:rPr>
      <w:rFonts w:ascii="Arial" w:eastAsiaTheme="majorEastAsia" w:hAnsi="Arial"/>
      <w:b/>
      <w:iCs/>
      <w:color w:val="404040" w:themeColor="text1" w:themeTint="BF"/>
      <w:spacing w:val="15"/>
      <w:sz w:val="40"/>
      <w:szCs w:val="40"/>
    </w:rPr>
  </w:style>
  <w:style w:type="character" w:customStyle="1" w:styleId="SubtitleChar">
    <w:name w:val="Subtitle Char"/>
    <w:basedOn w:val="DefaultParagraphFont"/>
    <w:link w:val="Subtitle"/>
    <w:uiPriority w:val="11"/>
    <w:rsid w:val="00783E2A"/>
    <w:rPr>
      <w:rFonts w:ascii="Arial" w:eastAsiaTheme="majorEastAsia" w:hAnsi="Arial" w:cs="Times New Roman"/>
      <w:b/>
      <w:iCs/>
      <w:color w:val="404040" w:themeColor="text1" w:themeTint="BF"/>
      <w:spacing w:val="15"/>
      <w:sz w:val="40"/>
      <w:szCs w:val="40"/>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styleId="ListParagraph">
    <w:name w:val="List Paragraph"/>
    <w:basedOn w:val="Normal"/>
    <w:uiPriority w:val="34"/>
    <w:qFormat/>
    <w:rsid w:val="000E32A6"/>
    <w:pPr>
      <w:spacing w:after="200" w:line="276" w:lineRule="auto"/>
      <w:ind w:left="720"/>
      <w:contextualSpacing/>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864821"/>
    <w:pPr>
      <w:spacing w:after="100"/>
      <w:ind w:left="480"/>
    </w:pPr>
  </w:style>
  <w:style w:type="paragraph" w:customStyle="1" w:styleId="AppendixHeading">
    <w:name w:val="Appendix Heading"/>
    <w:basedOn w:val="Normal"/>
    <w:link w:val="AppendixHeadingChar"/>
    <w:qFormat/>
    <w:rsid w:val="003707C6"/>
    <w:pPr>
      <w:spacing w:before="240" w:after="160"/>
      <w:jc w:val="center"/>
    </w:pPr>
    <w:rPr>
      <w:rFonts w:ascii="Arial Bold" w:hAnsi="Arial Bold" w:cs="Arial"/>
      <w:b/>
      <w:smallCaps/>
      <w:color w:val="231C80"/>
      <w:sz w:val="38"/>
      <w:szCs w:val="38"/>
    </w:rPr>
  </w:style>
  <w:style w:type="character" w:customStyle="1" w:styleId="AppendixHeadingChar">
    <w:name w:val="Appendix Heading Char"/>
    <w:basedOn w:val="DefaultParagraphFont"/>
    <w:link w:val="AppendixHeading"/>
    <w:rsid w:val="003707C6"/>
    <w:rPr>
      <w:rFonts w:ascii="Arial Bold" w:eastAsia="Times New Roman" w:hAnsi="Arial Bold" w:cs="Arial"/>
      <w:b/>
      <w:smallCaps/>
      <w:color w:val="231C80"/>
      <w:sz w:val="38"/>
      <w:szCs w:val="38"/>
    </w:rPr>
  </w:style>
  <w:style w:type="paragraph" w:customStyle="1" w:styleId="Appendixtitle">
    <w:name w:val="Appendix title"/>
    <w:basedOn w:val="Heading1"/>
    <w:link w:val="AppendixtitleChar"/>
    <w:qFormat/>
    <w:rsid w:val="00EB68CD"/>
  </w:style>
  <w:style w:type="character" w:customStyle="1" w:styleId="AppendixtitleChar">
    <w:name w:val="Appendix title Char"/>
    <w:basedOn w:val="Heading1Char"/>
    <w:link w:val="Appendixtitle"/>
    <w:rsid w:val="00EB68CD"/>
    <w:rPr>
      <w:rFonts w:ascii="Arial Bold" w:eastAsia="Times New Roman" w:hAnsi="Arial Bold" w:cs="Arial"/>
      <w:b/>
      <w:bCs/>
      <w:smallCaps/>
      <w:color w:val="000080"/>
      <w:kern w:val="32"/>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783E2A"/>
    <w:pPr>
      <w:widowControl w:val="0"/>
      <w:numPr>
        <w:ilvl w:val="1"/>
      </w:numPr>
      <w:autoSpaceDE w:val="0"/>
      <w:autoSpaceDN w:val="0"/>
      <w:adjustRightInd w:val="0"/>
    </w:pPr>
    <w:rPr>
      <w:rFonts w:ascii="Arial" w:eastAsiaTheme="majorEastAsia" w:hAnsi="Arial"/>
      <w:b/>
      <w:iCs/>
      <w:color w:val="404040" w:themeColor="text1" w:themeTint="BF"/>
      <w:spacing w:val="15"/>
      <w:sz w:val="40"/>
      <w:szCs w:val="40"/>
    </w:rPr>
  </w:style>
  <w:style w:type="character" w:customStyle="1" w:styleId="SubtitleChar">
    <w:name w:val="Subtitle Char"/>
    <w:basedOn w:val="DefaultParagraphFont"/>
    <w:link w:val="Subtitle"/>
    <w:uiPriority w:val="11"/>
    <w:rsid w:val="00783E2A"/>
    <w:rPr>
      <w:rFonts w:ascii="Arial" w:eastAsiaTheme="majorEastAsia" w:hAnsi="Arial" w:cs="Times New Roman"/>
      <w:b/>
      <w:iCs/>
      <w:color w:val="404040" w:themeColor="text1" w:themeTint="BF"/>
      <w:spacing w:val="15"/>
      <w:sz w:val="40"/>
      <w:szCs w:val="40"/>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styleId="ListParagraph">
    <w:name w:val="List Paragraph"/>
    <w:basedOn w:val="Normal"/>
    <w:uiPriority w:val="34"/>
    <w:qFormat/>
    <w:rsid w:val="000E32A6"/>
    <w:pPr>
      <w:spacing w:after="200" w:line="276" w:lineRule="auto"/>
      <w:ind w:left="720"/>
      <w:contextualSpacing/>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864821"/>
    <w:pPr>
      <w:spacing w:after="100"/>
      <w:ind w:left="480"/>
    </w:pPr>
  </w:style>
  <w:style w:type="paragraph" w:customStyle="1" w:styleId="AppendixHeading">
    <w:name w:val="Appendix Heading"/>
    <w:basedOn w:val="Normal"/>
    <w:link w:val="AppendixHeadingChar"/>
    <w:qFormat/>
    <w:rsid w:val="003707C6"/>
    <w:pPr>
      <w:spacing w:before="240" w:after="160"/>
      <w:jc w:val="center"/>
    </w:pPr>
    <w:rPr>
      <w:rFonts w:ascii="Arial Bold" w:hAnsi="Arial Bold" w:cs="Arial"/>
      <w:b/>
      <w:smallCaps/>
      <w:color w:val="231C80"/>
      <w:sz w:val="38"/>
      <w:szCs w:val="38"/>
    </w:rPr>
  </w:style>
  <w:style w:type="character" w:customStyle="1" w:styleId="AppendixHeadingChar">
    <w:name w:val="Appendix Heading Char"/>
    <w:basedOn w:val="DefaultParagraphFont"/>
    <w:link w:val="AppendixHeading"/>
    <w:rsid w:val="003707C6"/>
    <w:rPr>
      <w:rFonts w:ascii="Arial Bold" w:eastAsia="Times New Roman" w:hAnsi="Arial Bold" w:cs="Arial"/>
      <w:b/>
      <w:smallCaps/>
      <w:color w:val="231C80"/>
      <w:sz w:val="38"/>
      <w:szCs w:val="38"/>
    </w:rPr>
  </w:style>
  <w:style w:type="paragraph" w:customStyle="1" w:styleId="Appendixtitle">
    <w:name w:val="Appendix title"/>
    <w:basedOn w:val="Heading1"/>
    <w:link w:val="AppendixtitleChar"/>
    <w:qFormat/>
    <w:rsid w:val="00EB68CD"/>
  </w:style>
  <w:style w:type="character" w:customStyle="1" w:styleId="AppendixtitleChar">
    <w:name w:val="Appendix title Char"/>
    <w:basedOn w:val="Heading1Char"/>
    <w:link w:val="Appendixtitle"/>
    <w:rsid w:val="00EB68CD"/>
    <w:rPr>
      <w:rFonts w:ascii="Arial Bold" w:eastAsia="Times New Roman" w:hAnsi="Arial Bold" w:cs="Arial"/>
      <w:b/>
      <w:bCs/>
      <w:smallCaps/>
      <w:color w:val="000080"/>
      <w:kern w:val="32"/>
      <w:sz w:val="38"/>
      <w:szCs w:val="38"/>
    </w:rPr>
  </w:style>
</w:styles>
</file>

<file path=word/webSettings.xml><?xml version="1.0" encoding="utf-8"?>
<w:webSettings xmlns:r="http://schemas.openxmlformats.org/officeDocument/2006/relationships" xmlns:w="http://schemas.openxmlformats.org/wordprocessingml/2006/main">
  <w:divs>
    <w:div w:id="114908338">
      <w:bodyDiv w:val="1"/>
      <w:marLeft w:val="0"/>
      <w:marRight w:val="0"/>
      <w:marTop w:val="0"/>
      <w:marBottom w:val="0"/>
      <w:divBdr>
        <w:top w:val="none" w:sz="0" w:space="0" w:color="auto"/>
        <w:left w:val="none" w:sz="0" w:space="0" w:color="auto"/>
        <w:bottom w:val="none" w:sz="0" w:space="0" w:color="auto"/>
        <w:right w:val="none" w:sz="0" w:space="0" w:color="auto"/>
      </w:divBdr>
      <w:divsChild>
        <w:div w:id="394594598">
          <w:marLeft w:val="374"/>
          <w:marRight w:val="0"/>
          <w:marTop w:val="120"/>
          <w:marBottom w:val="0"/>
          <w:divBdr>
            <w:top w:val="none" w:sz="0" w:space="0" w:color="auto"/>
            <w:left w:val="none" w:sz="0" w:space="0" w:color="auto"/>
            <w:bottom w:val="none" w:sz="0" w:space="0" w:color="auto"/>
            <w:right w:val="none" w:sz="0" w:space="0" w:color="auto"/>
          </w:divBdr>
        </w:div>
      </w:divsChild>
    </w:div>
    <w:div w:id="8852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226FB-F6B2-4B96-9579-913C1860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Microsoft</Company>
  <LinksUpToDate>false</LinksUpToDate>
  <CharactersWithSpaces>17084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SC&amp;A</cp:lastModifiedBy>
  <cp:revision>13</cp:revision>
  <cp:lastPrinted>2015-08-02T22:20:00Z</cp:lastPrinted>
  <dcterms:created xsi:type="dcterms:W3CDTF">2015-08-18T12:58:00Z</dcterms:created>
  <dcterms:modified xsi:type="dcterms:W3CDTF">2015-08-26T21:23:00Z</dcterms:modified>
  <cp:category>Template</cp:category>
</cp:coreProperties>
</file>