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33" w:rsidRDefault="003A221E">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sidRPr="003A221E">
        <w:rPr>
          <w:rFonts w:ascii="Times New Roman" w:eastAsiaTheme="majorEastAsia" w:hAnsi="Times New Roman" w:cstheme="majorBidi"/>
          <w:b w:val="0"/>
          <w:bCs w:val="0"/>
          <w:color w:val="000080"/>
          <w:spacing w:val="5"/>
          <w:sz w:val="72"/>
          <w:szCs w:val="52"/>
        </w:rPr>
        <w:t xml:space="preserve">CRC </w:t>
      </w:r>
      <w:r w:rsidR="009A603F">
        <w:rPr>
          <w:rFonts w:ascii="Times New Roman" w:eastAsiaTheme="majorEastAsia" w:hAnsi="Times New Roman" w:cstheme="majorBidi"/>
          <w:b w:val="0"/>
          <w:bCs w:val="0"/>
          <w:color w:val="000080"/>
          <w:spacing w:val="5"/>
          <w:sz w:val="72"/>
          <w:szCs w:val="52"/>
        </w:rPr>
        <w:t xml:space="preserve">Drill </w:t>
      </w:r>
      <w:r w:rsidRPr="003A221E">
        <w:rPr>
          <w:rFonts w:ascii="Times New Roman" w:eastAsiaTheme="majorEastAsia" w:hAnsi="Times New Roman" w:cstheme="majorBidi"/>
          <w:b w:val="0"/>
          <w:bCs w:val="0"/>
          <w:color w:val="000080"/>
          <w:spacing w:val="5"/>
          <w:sz w:val="72"/>
          <w:szCs w:val="52"/>
        </w:rPr>
        <w:t>Toolkit</w:t>
      </w:r>
    </w:p>
    <w:p w:rsidR="00A43A33" w:rsidRDefault="003A221E">
      <w:pPr>
        <w:pStyle w:val="Subtitle"/>
      </w:pPr>
      <w:r>
        <w:t>Instructions for Use</w:t>
      </w:r>
    </w:p>
    <w:p w:rsidR="005858F2" w:rsidRPr="005858F2" w:rsidRDefault="005858F2" w:rsidP="005858F2">
      <w:pPr>
        <w:rPr>
          <w:rFonts w:ascii="Arial" w:eastAsiaTheme="majorEastAsia" w:hAnsi="Arial"/>
          <w:iCs/>
          <w:color w:val="404040" w:themeColor="text1" w:themeTint="BF"/>
          <w:spacing w:val="15"/>
        </w:rPr>
      </w:pPr>
      <w:r w:rsidRPr="005858F2">
        <w:rPr>
          <w:rFonts w:ascii="Arial" w:eastAsiaTheme="majorEastAsia" w:hAnsi="Arial"/>
          <w:iCs/>
          <w:color w:val="404040" w:themeColor="text1" w:themeTint="BF"/>
          <w:spacing w:val="15"/>
        </w:rPr>
        <w:t>September 2015</w:t>
      </w:r>
    </w:p>
    <w:p w:rsidR="00D45A7B" w:rsidRDefault="00D45A7B" w:rsidP="00F54B4C">
      <w:pPr>
        <w:pStyle w:val="CoverPageSummary"/>
      </w:pPr>
    </w:p>
    <w:p w:rsidR="005858F2" w:rsidRDefault="005858F2" w:rsidP="00F54B4C">
      <w:pPr>
        <w:pStyle w:val="CoverPageSummary"/>
      </w:pPr>
    </w:p>
    <w:p w:rsidR="005858F2" w:rsidRDefault="005858F2" w:rsidP="00F54B4C">
      <w:pPr>
        <w:pStyle w:val="CoverPageSummary"/>
      </w:pPr>
    </w:p>
    <w:p w:rsidR="005858F2" w:rsidRDefault="005858F2" w:rsidP="00F54B4C">
      <w:pPr>
        <w:pStyle w:val="CoverPageSummary"/>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923290</wp:posOffset>
            </wp:positionV>
            <wp:extent cx="5943600" cy="9144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30000"/>
                    </a:blip>
                    <a:srcRect/>
                    <a:stretch>
                      <a:fillRect/>
                    </a:stretch>
                  </pic:blipFill>
                  <pic:spPr bwMode="auto">
                    <a:xfrm>
                      <a:off x="0" y="0"/>
                      <a:ext cx="5943600" cy="914400"/>
                    </a:xfrm>
                    <a:prstGeom prst="rect">
                      <a:avLst/>
                    </a:prstGeom>
                    <a:noFill/>
                    <a:ln w="3175">
                      <a:noFill/>
                      <a:miter lim="800000"/>
                      <a:headEnd/>
                      <a:tailEnd/>
                    </a:ln>
                  </pic:spPr>
                </pic:pic>
              </a:graphicData>
            </a:graphic>
          </wp:anchor>
        </w:drawing>
      </w:r>
    </w:p>
    <w:p w:rsidR="005858F2" w:rsidRDefault="005858F2" w:rsidP="00F54B4C">
      <w:pPr>
        <w:pStyle w:val="CoverPageSummary"/>
        <w:sectPr w:rsidR="005858F2" w:rsidSect="00BE4726">
          <w:pgSz w:w="12240" w:h="15840" w:code="1"/>
          <w:pgMar w:top="1440" w:right="1440" w:bottom="1440" w:left="1440" w:header="72" w:footer="1032" w:gutter="0"/>
          <w:pgNumType w:fmt="lowerRoman" w:start="2"/>
          <w:cols w:space="720"/>
          <w:docGrid w:linePitch="360"/>
        </w:sectPr>
      </w:pPr>
    </w:p>
    <w:p w:rsidR="00D45A7B" w:rsidRDefault="003A221E" w:rsidP="009B4B26">
      <w:pPr>
        <w:pStyle w:val="Heading1"/>
        <w:spacing w:before="0"/>
      </w:pPr>
      <w:bookmarkStart w:id="0" w:name="_Toc423618157"/>
      <w:r>
        <w:lastRenderedPageBreak/>
        <w:t>Preface</w:t>
      </w:r>
      <w:bookmarkEnd w:id="0"/>
    </w:p>
    <w:p w:rsidR="009A603F" w:rsidRDefault="008B4A88" w:rsidP="00147D22">
      <w:pPr>
        <w:pStyle w:val="CoverPageSummary"/>
        <w:spacing w:before="240" w:after="160"/>
      </w:pPr>
      <w:r>
        <w:t>Population monitoring and t</w:t>
      </w:r>
      <w:r w:rsidR="00697585">
        <w:t xml:space="preserve">he operational concept of the community reception center (CRC), </w:t>
      </w:r>
      <w:r w:rsidR="007F5807">
        <w:t>initially</w:t>
      </w:r>
      <w:r w:rsidR="00697585">
        <w:t xml:space="preserve"> described in the first edition of </w:t>
      </w:r>
      <w:r w:rsidR="009A603F">
        <w:t>the Centers for Disease Control and Prevention’s (</w:t>
      </w:r>
      <w:r w:rsidR="00697585">
        <w:t>CDC’s</w:t>
      </w:r>
      <w:r w:rsidR="009A603F">
        <w:t>)</w:t>
      </w:r>
      <w:r w:rsidR="00697585">
        <w:t xml:space="preserve"> </w:t>
      </w:r>
      <w:r w:rsidR="00697585" w:rsidRPr="00697585">
        <w:rPr>
          <w:i/>
        </w:rPr>
        <w:t>Population Monitoring in Radiation Emergencies</w:t>
      </w:r>
      <w:r w:rsidR="00697585">
        <w:t xml:space="preserve"> in 2007, ha</w:t>
      </w:r>
      <w:r>
        <w:t>ve</w:t>
      </w:r>
      <w:r w:rsidR="00697585">
        <w:t xml:space="preserve"> been incorporated in radiation emergency response plans across the country. To support this effort, CDC has developed a </w:t>
      </w:r>
      <w:r w:rsidR="00FC35B9">
        <w:t>variety</w:t>
      </w:r>
      <w:r w:rsidR="00697585">
        <w:t xml:space="preserve"> of training and planning tools and resources specifically related to population monitoring and CRC operations. </w:t>
      </w:r>
      <w:r w:rsidR="009A603F">
        <w:t xml:space="preserve">This CRC Drill Toolkit is </w:t>
      </w:r>
      <w:r w:rsidR="00FC35B9">
        <w:t>an integral part of this</w:t>
      </w:r>
      <w:r w:rsidR="009A603F">
        <w:t xml:space="preserve"> effort.</w:t>
      </w:r>
    </w:p>
    <w:p w:rsidR="00697585" w:rsidRDefault="009A603F" w:rsidP="00147D22">
      <w:pPr>
        <w:pStyle w:val="CoverPageSummary"/>
        <w:spacing w:before="240" w:after="160"/>
      </w:pPr>
      <w:r>
        <w:t>The toolkit provides guidance and templates that a</w:t>
      </w:r>
      <w:r w:rsidR="00FC35B9">
        <w:t>ny</w:t>
      </w:r>
      <w:r>
        <w:t xml:space="preserve"> jurisdiction can ad</w:t>
      </w:r>
      <w:r w:rsidR="00FC35B9">
        <w:t>a</w:t>
      </w:r>
      <w:r>
        <w:t>pt to exercise the</w:t>
      </w:r>
      <w:r w:rsidR="00FC35B9">
        <w:t xml:space="preserve"> full range of</w:t>
      </w:r>
      <w:r>
        <w:t xml:space="preserve"> CRC</w:t>
      </w:r>
      <w:r w:rsidR="00FC35B9">
        <w:t xml:space="preserve"> operations</w:t>
      </w:r>
      <w:r>
        <w:t xml:space="preserve">. The drill was developed to be compatible with the U.S. Department of Homeland Security’s Homeland Security Exercise and Evaluation Program. </w:t>
      </w:r>
      <w:r w:rsidR="00FC35B9">
        <w:t xml:space="preserve">It also incorporates insights, issues, and lessons learned from real-world events. </w:t>
      </w:r>
      <w:proofErr w:type="gramStart"/>
      <w:r>
        <w:t>These</w:t>
      </w:r>
      <w:proofErr w:type="gramEnd"/>
      <w:r>
        <w:t xml:space="preserve"> </w:t>
      </w:r>
      <w:r w:rsidRPr="009A603F">
        <w:rPr>
          <w:i/>
        </w:rPr>
        <w:t>CRC Drill Toolkit Instructions for Use</w:t>
      </w:r>
      <w:r>
        <w:t xml:space="preserve"> provide guidance on using the </w:t>
      </w:r>
      <w:r w:rsidR="00FC35B9">
        <w:t xml:space="preserve">drill </w:t>
      </w:r>
      <w:r>
        <w:t xml:space="preserve">materials. Jurisdictions can either use the materials as presented, filling in drill-specific information where noted, or make more extensive changes to customize the materials to their needs.   </w:t>
      </w:r>
    </w:p>
    <w:p w:rsidR="00147D22" w:rsidRDefault="00147D22" w:rsidP="00147D22">
      <w:pPr>
        <w:pStyle w:val="CoverPageSummary"/>
        <w:spacing w:before="240" w:after="160"/>
      </w:pPr>
      <w:r>
        <w:t xml:space="preserve">Please send your comments and suggestions to the </w:t>
      </w:r>
      <w:r w:rsidR="009A603F">
        <w:t>R</w:t>
      </w:r>
      <w:r>
        <w:t>adiation Studies Branch at CDC via email (</w:t>
      </w:r>
      <w:hyperlink r:id="rId9" w:history="1">
        <w:r w:rsidRPr="00ED66D3">
          <w:rPr>
            <w:rStyle w:val="Hyperlink"/>
          </w:rPr>
          <w:t>rsbinfo@cdc.gov</w:t>
        </w:r>
      </w:hyperlink>
      <w:r>
        <w:t>) or mail them to:</w:t>
      </w:r>
    </w:p>
    <w:p w:rsidR="00147D22" w:rsidRDefault="00147D22" w:rsidP="00147D22">
      <w:pPr>
        <w:pStyle w:val="CoverPageSummary"/>
        <w:spacing w:before="240"/>
      </w:pPr>
      <w:r>
        <w:t>Radiation Studies Branch</w:t>
      </w:r>
    </w:p>
    <w:p w:rsidR="00147D22" w:rsidRDefault="00147D22" w:rsidP="00147D22">
      <w:pPr>
        <w:pStyle w:val="CoverPageSummary"/>
        <w:spacing w:before="0"/>
      </w:pPr>
      <w:r>
        <w:t>Division of Environmental Hazards and Health effects</w:t>
      </w:r>
    </w:p>
    <w:p w:rsidR="00147D22" w:rsidRDefault="00147D22" w:rsidP="00147D22">
      <w:pPr>
        <w:pStyle w:val="CoverPageSummary"/>
        <w:spacing w:before="0"/>
      </w:pPr>
      <w:r>
        <w:t>National Center for Environmental Health</w:t>
      </w:r>
    </w:p>
    <w:p w:rsidR="00147D22" w:rsidRDefault="00147D22" w:rsidP="00147D22">
      <w:pPr>
        <w:pStyle w:val="CoverPageSummary"/>
        <w:spacing w:before="0"/>
      </w:pPr>
      <w:r>
        <w:t>Centers for Disease Control and Prevention</w:t>
      </w:r>
    </w:p>
    <w:p w:rsidR="00147D22" w:rsidRDefault="00147D22" w:rsidP="00147D22">
      <w:pPr>
        <w:pStyle w:val="CoverPageSummary"/>
        <w:spacing w:before="0"/>
      </w:pPr>
      <w:r>
        <w:t>4770 Buford Highway (MSF-59)</w:t>
      </w:r>
    </w:p>
    <w:p w:rsidR="00147D22" w:rsidRDefault="00147D22" w:rsidP="00147D22">
      <w:pPr>
        <w:pStyle w:val="CoverPageSummary"/>
        <w:spacing w:before="0" w:after="160"/>
      </w:pPr>
      <w:r>
        <w:t>Atlanta, GA 30341</w:t>
      </w:r>
    </w:p>
    <w:p w:rsidR="00147D22" w:rsidRDefault="00147D22" w:rsidP="00147D22">
      <w:pPr>
        <w:pStyle w:val="CoverPageSummary"/>
        <w:spacing w:before="240" w:after="160"/>
      </w:pPr>
      <w:r>
        <w:t>Electronic copies of this toolkit can be downloaded from:</w:t>
      </w:r>
    </w:p>
    <w:p w:rsidR="000F2782" w:rsidRDefault="004460D8" w:rsidP="000F2782">
      <w:pPr>
        <w:pStyle w:val="CoverPageSummary"/>
        <w:spacing w:before="0"/>
      </w:pPr>
      <w:hyperlink r:id="rId10" w:history="1">
        <w:r w:rsidR="000F2782" w:rsidRPr="00ED66D3">
          <w:rPr>
            <w:rStyle w:val="Hyperlink"/>
          </w:rPr>
          <w:t>http://www.bt.cdc.gov/radiation/toolkits.asp</w:t>
        </w:r>
      </w:hyperlink>
      <w:r w:rsidR="000F2782">
        <w:t xml:space="preserve"> </w:t>
      </w:r>
    </w:p>
    <w:p w:rsidR="000F2782" w:rsidRDefault="000F2782" w:rsidP="000F2782">
      <w:pPr>
        <w:pStyle w:val="CoverPageSummary"/>
        <w:spacing w:before="0"/>
      </w:pPr>
    </w:p>
    <w:p w:rsidR="000F2782" w:rsidRDefault="000F2782" w:rsidP="000F2782">
      <w:pPr>
        <w:pStyle w:val="CoverPageSummary"/>
        <w:spacing w:before="0"/>
        <w:sectPr w:rsidR="000F2782" w:rsidSect="00BE4726">
          <w:headerReference w:type="default" r:id="rId11"/>
          <w:footerReference w:type="default" r:id="rId12"/>
          <w:pgSz w:w="12240" w:h="15840" w:code="1"/>
          <w:pgMar w:top="1440" w:right="1440" w:bottom="1440" w:left="1440" w:header="720" w:footer="720" w:gutter="0"/>
          <w:pgNumType w:fmt="lowerRoman" w:start="1"/>
          <w:cols w:space="720"/>
          <w:docGrid w:linePitch="360"/>
        </w:sectPr>
      </w:pPr>
    </w:p>
    <w:p w:rsidR="0091090D" w:rsidRPr="0091090D" w:rsidRDefault="0091090D" w:rsidP="0091090D">
      <w:pPr>
        <w:pStyle w:val="CoverPageSummary"/>
        <w:spacing w:before="0"/>
        <w:jc w:val="center"/>
        <w:rPr>
          <w:rFonts w:ascii="Arial" w:hAnsi="Arial" w:cs="Arial"/>
          <w:b/>
          <w:bCs/>
          <w:smallCaps/>
          <w:color w:val="000080"/>
          <w:kern w:val="32"/>
          <w:sz w:val="38"/>
          <w:szCs w:val="38"/>
        </w:rPr>
      </w:pPr>
      <w:r w:rsidRPr="0091090D">
        <w:rPr>
          <w:rFonts w:ascii="Arial" w:hAnsi="Arial" w:cs="Arial"/>
          <w:b/>
          <w:bCs/>
          <w:smallCaps/>
          <w:color w:val="000080"/>
          <w:kern w:val="32"/>
          <w:sz w:val="38"/>
          <w:szCs w:val="38"/>
        </w:rPr>
        <w:lastRenderedPageBreak/>
        <w:t>C</w:t>
      </w:r>
      <w:r>
        <w:rPr>
          <w:rFonts w:ascii="Arial" w:hAnsi="Arial" w:cs="Arial"/>
          <w:b/>
          <w:bCs/>
          <w:smallCaps/>
          <w:color w:val="000080"/>
          <w:kern w:val="32"/>
          <w:sz w:val="38"/>
          <w:szCs w:val="38"/>
        </w:rPr>
        <w:t>ontents</w:t>
      </w:r>
    </w:p>
    <w:p w:rsidR="0091090D" w:rsidRDefault="0091090D" w:rsidP="0091090D">
      <w:pPr>
        <w:pStyle w:val="CoverPageSummary"/>
        <w:spacing w:before="0"/>
      </w:pPr>
    </w:p>
    <w:p w:rsidR="00BE4726" w:rsidRPr="00BE4726" w:rsidRDefault="004460D8">
      <w:pPr>
        <w:pStyle w:val="TOC1"/>
        <w:rPr>
          <w:rFonts w:ascii="Times New Roman" w:eastAsiaTheme="minorEastAsia" w:hAnsi="Times New Roman" w:cs="Times New Roman"/>
          <w:b w:val="0"/>
          <w:color w:val="auto"/>
          <w:sz w:val="24"/>
          <w:szCs w:val="24"/>
        </w:rPr>
      </w:pPr>
      <w:r w:rsidRPr="004460D8">
        <w:rPr>
          <w:rFonts w:ascii="Times New Roman" w:hAnsi="Times New Roman" w:cs="Times New Roman"/>
          <w:sz w:val="24"/>
          <w:szCs w:val="24"/>
        </w:rPr>
        <w:fldChar w:fldCharType="begin"/>
      </w:r>
      <w:r w:rsidR="00864821" w:rsidRPr="00BE4726">
        <w:rPr>
          <w:rFonts w:ascii="Times New Roman" w:hAnsi="Times New Roman" w:cs="Times New Roman"/>
          <w:sz w:val="24"/>
          <w:szCs w:val="24"/>
        </w:rPr>
        <w:instrText xml:space="preserve"> TOC \o "2-2" \h \z \t "Heading 1,1,Heading 3,3" </w:instrText>
      </w:r>
      <w:r w:rsidRPr="004460D8">
        <w:rPr>
          <w:rFonts w:ascii="Times New Roman" w:hAnsi="Times New Roman" w:cs="Times New Roman"/>
          <w:sz w:val="24"/>
          <w:szCs w:val="24"/>
        </w:rPr>
        <w:fldChar w:fldCharType="separate"/>
      </w:r>
      <w:hyperlink w:anchor="_Toc423618157" w:history="1">
        <w:r w:rsidR="00BE4726" w:rsidRPr="00BE4726">
          <w:rPr>
            <w:rStyle w:val="Hyperlink"/>
            <w:rFonts w:ascii="Times New Roman" w:hAnsi="Times New Roman" w:cs="Times New Roman"/>
            <w:sz w:val="24"/>
            <w:szCs w:val="24"/>
          </w:rPr>
          <w:t>Preface</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_Toc423618157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i</w:t>
        </w:r>
        <w:r w:rsidRPr="00BE4726">
          <w:rPr>
            <w:rFonts w:ascii="Times New Roman" w:hAnsi="Times New Roman" w:cs="Times New Roman"/>
            <w:webHidden/>
            <w:sz w:val="24"/>
            <w:szCs w:val="24"/>
          </w:rPr>
          <w:fldChar w:fldCharType="end"/>
        </w:r>
      </w:hyperlink>
    </w:p>
    <w:p w:rsidR="00BE4726" w:rsidRPr="00BE4726" w:rsidRDefault="004460D8">
      <w:pPr>
        <w:pStyle w:val="TOC1"/>
        <w:rPr>
          <w:rFonts w:ascii="Times New Roman" w:eastAsiaTheme="minorEastAsia" w:hAnsi="Times New Roman" w:cs="Times New Roman"/>
          <w:b w:val="0"/>
          <w:color w:val="auto"/>
          <w:sz w:val="24"/>
          <w:szCs w:val="24"/>
        </w:rPr>
      </w:pPr>
      <w:hyperlink w:anchor="_Toc423618158" w:history="1">
        <w:r w:rsidR="00BE4726" w:rsidRPr="00BE4726">
          <w:rPr>
            <w:rStyle w:val="Hyperlink"/>
            <w:rFonts w:ascii="Times New Roman" w:hAnsi="Times New Roman" w:cs="Times New Roman"/>
            <w:sz w:val="24"/>
            <w:szCs w:val="24"/>
          </w:rPr>
          <w:t>Toolkit Materials</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_Toc423618158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1</w:t>
        </w:r>
        <w:r w:rsidRPr="00BE4726">
          <w:rPr>
            <w:rFonts w:ascii="Times New Roman" w:hAnsi="Times New Roman" w:cs="Times New Roman"/>
            <w:webHidden/>
            <w:sz w:val="24"/>
            <w:szCs w:val="24"/>
          </w:rPr>
          <w:fldChar w:fldCharType="end"/>
        </w:r>
      </w:hyperlink>
    </w:p>
    <w:p w:rsidR="00BE4726" w:rsidRPr="00BE4726" w:rsidRDefault="004460D8">
      <w:pPr>
        <w:pStyle w:val="TOC1"/>
        <w:rPr>
          <w:rFonts w:ascii="Times New Roman" w:eastAsiaTheme="minorEastAsia" w:hAnsi="Times New Roman" w:cs="Times New Roman"/>
          <w:b w:val="0"/>
          <w:color w:val="auto"/>
          <w:sz w:val="24"/>
          <w:szCs w:val="24"/>
        </w:rPr>
      </w:pPr>
      <w:hyperlink w:anchor="_Toc423618159" w:history="1">
        <w:r w:rsidR="00BE4726" w:rsidRPr="00BE4726">
          <w:rPr>
            <w:rStyle w:val="Hyperlink"/>
            <w:rFonts w:ascii="Times New Roman" w:hAnsi="Times New Roman" w:cs="Times New Roman"/>
            <w:sz w:val="24"/>
            <w:szCs w:val="24"/>
          </w:rPr>
          <w:t>Introduction</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_Toc423618159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2</w:t>
        </w:r>
        <w:r w:rsidRPr="00BE4726">
          <w:rPr>
            <w:rFonts w:ascii="Times New Roman" w:hAnsi="Times New Roman" w:cs="Times New Roman"/>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0" w:history="1">
        <w:r w:rsidR="00BE4726" w:rsidRPr="00BE4726">
          <w:rPr>
            <w:rStyle w:val="Hyperlink"/>
            <w:rFonts w:ascii="Times New Roman" w:hAnsi="Times New Roman"/>
            <w:noProof/>
            <w:kern w:val="32"/>
            <w:sz w:val="24"/>
            <w:szCs w:val="24"/>
          </w:rPr>
          <w:t>Background</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_Toc423618160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2</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1" w:history="1">
        <w:r w:rsidR="00BE4726" w:rsidRPr="00BE4726">
          <w:rPr>
            <w:rStyle w:val="Hyperlink"/>
            <w:rFonts w:ascii="Times New Roman" w:hAnsi="Times New Roman"/>
            <w:noProof/>
            <w:kern w:val="32"/>
            <w:sz w:val="24"/>
            <w:szCs w:val="24"/>
          </w:rPr>
          <w:t>Drill Design and Development</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_Toc423618161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2</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2" w:history="1">
        <w:r w:rsidR="00BE4726" w:rsidRPr="00BE4726">
          <w:rPr>
            <w:rStyle w:val="Hyperlink"/>
            <w:rFonts w:ascii="Times New Roman" w:hAnsi="Times New Roman"/>
            <w:noProof/>
            <w:kern w:val="32"/>
            <w:sz w:val="24"/>
            <w:szCs w:val="24"/>
          </w:rPr>
          <w:t>Drill Conduct</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_Toc423618162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2</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3" w:history="1">
        <w:r w:rsidR="00BE4726" w:rsidRPr="00BE4726">
          <w:rPr>
            <w:rStyle w:val="Hyperlink"/>
            <w:rFonts w:ascii="Times New Roman" w:hAnsi="Times New Roman"/>
            <w:noProof/>
            <w:kern w:val="32"/>
            <w:sz w:val="24"/>
            <w:szCs w:val="24"/>
          </w:rPr>
          <w:t>Drill Evaluation</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_Toc423618163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2</w:t>
        </w:r>
        <w:r w:rsidRPr="00BE4726">
          <w:rPr>
            <w:rFonts w:ascii="Times New Roman" w:hAnsi="Times New Roman"/>
            <w:noProof/>
            <w:webHidden/>
            <w:sz w:val="24"/>
            <w:szCs w:val="24"/>
          </w:rPr>
          <w:fldChar w:fldCharType="end"/>
        </w:r>
      </w:hyperlink>
    </w:p>
    <w:p w:rsidR="00BE4726" w:rsidRPr="00BE4726" w:rsidRDefault="004460D8">
      <w:pPr>
        <w:pStyle w:val="TOC1"/>
        <w:rPr>
          <w:rFonts w:ascii="Times New Roman" w:eastAsiaTheme="minorEastAsia" w:hAnsi="Times New Roman" w:cs="Times New Roman"/>
          <w:b w:val="0"/>
          <w:color w:val="auto"/>
          <w:sz w:val="24"/>
          <w:szCs w:val="24"/>
        </w:rPr>
      </w:pPr>
      <w:hyperlink w:anchor="_Toc423618164" w:history="1">
        <w:r w:rsidR="00BE4726" w:rsidRPr="00BE4726">
          <w:rPr>
            <w:rStyle w:val="Hyperlink"/>
            <w:rFonts w:ascii="Times New Roman" w:hAnsi="Times New Roman" w:cs="Times New Roman"/>
            <w:sz w:val="24"/>
            <w:szCs w:val="24"/>
          </w:rPr>
          <w:t>Drill Design and Development</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_Toc423618164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3</w:t>
        </w:r>
        <w:r w:rsidRPr="00BE4726">
          <w:rPr>
            <w:rFonts w:ascii="Times New Roman" w:hAnsi="Times New Roman" w:cs="Times New Roman"/>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5" w:history="1">
        <w:r w:rsidR="00BE4726" w:rsidRPr="00BE4726">
          <w:rPr>
            <w:rStyle w:val="Hyperlink"/>
            <w:rFonts w:ascii="Times New Roman" w:hAnsi="Times New Roman"/>
            <w:noProof/>
            <w:sz w:val="24"/>
            <w:szCs w:val="24"/>
          </w:rPr>
          <w:t>Drill Planning Team</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_Toc423618165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3</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6" w:history="1">
        <w:r w:rsidR="00BE4726" w:rsidRPr="00BE4726">
          <w:rPr>
            <w:rStyle w:val="Hyperlink"/>
            <w:rFonts w:ascii="Times New Roman" w:hAnsi="Times New Roman"/>
            <w:noProof/>
            <w:sz w:val="24"/>
            <w:szCs w:val="24"/>
          </w:rPr>
          <w:t>Drill Planning Meetings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_Toc423618166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3</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7" w:history="1">
        <w:r w:rsidR="00BE4726" w:rsidRPr="00BE4726">
          <w:rPr>
            <w:rStyle w:val="Hyperlink"/>
            <w:rFonts w:ascii="Times New Roman" w:hAnsi="Times New Roman"/>
            <w:noProof/>
            <w:sz w:val="24"/>
            <w:szCs w:val="24"/>
          </w:rPr>
          <w:t>Capabilities, Tasks, and Objectives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_Toc423618167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3</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8" w:history="1">
        <w:r w:rsidR="00BE4726" w:rsidRPr="00BE4726">
          <w:rPr>
            <w:rStyle w:val="Hyperlink"/>
            <w:rFonts w:ascii="Times New Roman" w:hAnsi="Times New Roman"/>
            <w:noProof/>
            <w:sz w:val="24"/>
            <w:szCs w:val="24"/>
          </w:rPr>
          <w:t>Drill Logistics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_Toc423618168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4</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69" w:history="1">
        <w:r w:rsidR="00BE4726" w:rsidRPr="00BE4726">
          <w:rPr>
            <w:rStyle w:val="Hyperlink"/>
            <w:rFonts w:ascii="Times New Roman" w:hAnsi="Times New Roman"/>
            <w:noProof/>
            <w:sz w:val="24"/>
            <w:szCs w:val="24"/>
          </w:rPr>
          <w:t>Scenario and Drill Events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_Toc423618169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4</w:t>
        </w:r>
        <w:r w:rsidRPr="00BE4726">
          <w:rPr>
            <w:rFonts w:ascii="Times New Roman" w:hAnsi="Times New Roman"/>
            <w:noProof/>
            <w:webHidden/>
            <w:sz w:val="24"/>
            <w:szCs w:val="24"/>
          </w:rPr>
          <w:fldChar w:fldCharType="end"/>
        </w:r>
      </w:hyperlink>
    </w:p>
    <w:p w:rsidR="00BE4726" w:rsidRPr="00BE4726" w:rsidRDefault="004460D8">
      <w:pPr>
        <w:pStyle w:val="TOC1"/>
        <w:rPr>
          <w:rFonts w:ascii="Times New Roman" w:eastAsiaTheme="minorEastAsia" w:hAnsi="Times New Roman" w:cs="Times New Roman"/>
          <w:b w:val="0"/>
          <w:color w:val="auto"/>
          <w:sz w:val="24"/>
          <w:szCs w:val="24"/>
        </w:rPr>
      </w:pPr>
      <w:hyperlink w:anchor="_Toc423618170" w:history="1">
        <w:r w:rsidR="00BE4726" w:rsidRPr="00BE4726">
          <w:rPr>
            <w:rStyle w:val="Hyperlink"/>
            <w:rFonts w:ascii="Times New Roman" w:hAnsi="Times New Roman" w:cs="Times New Roman"/>
            <w:sz w:val="24"/>
            <w:szCs w:val="24"/>
          </w:rPr>
          <w:t>Drill Conduct</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_Toc423618170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6</w:t>
        </w:r>
        <w:r w:rsidRPr="00BE4726">
          <w:rPr>
            <w:rFonts w:ascii="Times New Roman" w:hAnsi="Times New Roman" w:cs="Times New Roman"/>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71" w:history="1">
        <w:r w:rsidR="00BE4726" w:rsidRPr="00BE4726">
          <w:rPr>
            <w:rStyle w:val="Hyperlink"/>
            <w:rFonts w:ascii="Times New Roman" w:hAnsi="Times New Roman"/>
            <w:noProof/>
            <w:sz w:val="24"/>
            <w:szCs w:val="24"/>
          </w:rPr>
          <w:t>Participant Briefing Presentations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_Toc423618171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6</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72" w:history="1">
        <w:r w:rsidR="00BE4726" w:rsidRPr="00BE4726">
          <w:rPr>
            <w:rStyle w:val="Hyperlink"/>
            <w:rFonts w:ascii="Times New Roman" w:hAnsi="Times New Roman"/>
            <w:noProof/>
            <w:sz w:val="24"/>
            <w:szCs w:val="24"/>
          </w:rPr>
          <w:t>Participant Handbooks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_Toc423618172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6</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73" w:history="1">
        <w:r w:rsidR="00BE4726" w:rsidRPr="00BE4726">
          <w:rPr>
            <w:rStyle w:val="Hyperlink"/>
            <w:rFonts w:ascii="Times New Roman" w:hAnsi="Times New Roman"/>
            <w:noProof/>
            <w:sz w:val="24"/>
            <w:szCs w:val="24"/>
          </w:rPr>
          <w:t>Name Badge Templates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_Toc423618173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7</w:t>
        </w:r>
        <w:r w:rsidRPr="00BE4726">
          <w:rPr>
            <w:rFonts w:ascii="Times New Roman" w:hAnsi="Times New Roman"/>
            <w:noProof/>
            <w:webHidden/>
            <w:sz w:val="24"/>
            <w:szCs w:val="24"/>
          </w:rPr>
          <w:fldChar w:fldCharType="end"/>
        </w:r>
      </w:hyperlink>
    </w:p>
    <w:p w:rsidR="00BE4726" w:rsidRPr="00BE4726" w:rsidRDefault="004460D8">
      <w:pPr>
        <w:pStyle w:val="TOC1"/>
        <w:rPr>
          <w:rFonts w:ascii="Times New Roman" w:eastAsiaTheme="minorEastAsia" w:hAnsi="Times New Roman" w:cs="Times New Roman"/>
          <w:b w:val="0"/>
          <w:color w:val="auto"/>
          <w:sz w:val="24"/>
          <w:szCs w:val="24"/>
        </w:rPr>
      </w:pPr>
      <w:hyperlink w:anchor="_Toc423618174" w:history="1">
        <w:r w:rsidR="00BE4726" w:rsidRPr="00BE4726">
          <w:rPr>
            <w:rStyle w:val="Hyperlink"/>
            <w:rFonts w:ascii="Times New Roman" w:hAnsi="Times New Roman" w:cs="Times New Roman"/>
            <w:sz w:val="24"/>
            <w:szCs w:val="24"/>
          </w:rPr>
          <w:t>Drill Evaluation</w:t>
        </w:r>
        <w:r w:rsidR="00BE4726" w:rsidRPr="00BE4726">
          <w:rPr>
            <w:rFonts w:ascii="Times New Roman" w:hAnsi="Times New Roman" w:cs="Times New Roman"/>
            <w:webHidden/>
            <w:sz w:val="24"/>
            <w:szCs w:val="24"/>
          </w:rPr>
          <w:tab/>
        </w:r>
        <w:r w:rsidRPr="00BE4726">
          <w:rPr>
            <w:rFonts w:ascii="Times New Roman" w:hAnsi="Times New Roman" w:cs="Times New Roman"/>
            <w:webHidden/>
            <w:sz w:val="24"/>
            <w:szCs w:val="24"/>
          </w:rPr>
          <w:fldChar w:fldCharType="begin"/>
        </w:r>
        <w:r w:rsidR="00BE4726" w:rsidRPr="00BE4726">
          <w:rPr>
            <w:rFonts w:ascii="Times New Roman" w:hAnsi="Times New Roman" w:cs="Times New Roman"/>
            <w:webHidden/>
            <w:sz w:val="24"/>
            <w:szCs w:val="24"/>
          </w:rPr>
          <w:instrText xml:space="preserve"> PAGEREF _Toc423618174 \h </w:instrText>
        </w:r>
        <w:r w:rsidRPr="00BE4726">
          <w:rPr>
            <w:rFonts w:ascii="Times New Roman" w:hAnsi="Times New Roman" w:cs="Times New Roman"/>
            <w:webHidden/>
            <w:sz w:val="24"/>
            <w:szCs w:val="24"/>
          </w:rPr>
        </w:r>
        <w:r w:rsidRPr="00BE4726">
          <w:rPr>
            <w:rFonts w:ascii="Times New Roman" w:hAnsi="Times New Roman" w:cs="Times New Roman"/>
            <w:webHidden/>
            <w:sz w:val="24"/>
            <w:szCs w:val="24"/>
          </w:rPr>
          <w:fldChar w:fldCharType="separate"/>
        </w:r>
        <w:r w:rsidR="000C6C14">
          <w:rPr>
            <w:rFonts w:ascii="Times New Roman" w:hAnsi="Times New Roman" w:cs="Times New Roman"/>
            <w:webHidden/>
            <w:sz w:val="24"/>
            <w:szCs w:val="24"/>
          </w:rPr>
          <w:t>8</w:t>
        </w:r>
        <w:r w:rsidRPr="00BE4726">
          <w:rPr>
            <w:rFonts w:ascii="Times New Roman" w:hAnsi="Times New Roman" w:cs="Times New Roman"/>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75" w:history="1">
        <w:r w:rsidR="00BE4726" w:rsidRPr="00BE4726">
          <w:rPr>
            <w:rStyle w:val="Hyperlink"/>
            <w:rFonts w:ascii="Times New Roman" w:hAnsi="Times New Roman"/>
            <w:noProof/>
            <w:sz w:val="24"/>
            <w:szCs w:val="24"/>
          </w:rPr>
          <w:t>Exercise Evaluation Guides</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_Toc423618175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8</w:t>
        </w:r>
        <w:r w:rsidRPr="00BE4726">
          <w:rPr>
            <w:rFonts w:ascii="Times New Roman" w:hAnsi="Times New Roman"/>
            <w:noProof/>
            <w:webHidden/>
            <w:sz w:val="24"/>
            <w:szCs w:val="24"/>
          </w:rPr>
          <w:fldChar w:fldCharType="end"/>
        </w:r>
      </w:hyperlink>
    </w:p>
    <w:p w:rsidR="00BE4726" w:rsidRPr="00BE4726" w:rsidRDefault="004460D8">
      <w:pPr>
        <w:pStyle w:val="TOC2"/>
        <w:rPr>
          <w:rFonts w:ascii="Times New Roman" w:eastAsiaTheme="minorEastAsia" w:hAnsi="Times New Roman"/>
          <w:noProof/>
          <w:sz w:val="24"/>
          <w:szCs w:val="24"/>
        </w:rPr>
      </w:pPr>
      <w:hyperlink w:anchor="_Toc423618176" w:history="1">
        <w:r w:rsidR="00BE4726" w:rsidRPr="00BE4726">
          <w:rPr>
            <w:rStyle w:val="Hyperlink"/>
            <w:rFonts w:ascii="Times New Roman" w:hAnsi="Times New Roman"/>
            <w:noProof/>
            <w:sz w:val="24"/>
            <w:szCs w:val="24"/>
          </w:rPr>
          <w:t>Participant Feedback</w:t>
        </w:r>
        <w:r w:rsidR="00BE4726" w:rsidRPr="00BE4726">
          <w:rPr>
            <w:rFonts w:ascii="Times New Roman" w:hAnsi="Times New Roman"/>
            <w:noProof/>
            <w:webHidden/>
            <w:sz w:val="24"/>
            <w:szCs w:val="24"/>
          </w:rPr>
          <w:tab/>
        </w:r>
        <w:r w:rsidRPr="00BE4726">
          <w:rPr>
            <w:rFonts w:ascii="Times New Roman" w:hAnsi="Times New Roman"/>
            <w:noProof/>
            <w:webHidden/>
            <w:sz w:val="24"/>
            <w:szCs w:val="24"/>
          </w:rPr>
          <w:fldChar w:fldCharType="begin"/>
        </w:r>
        <w:r w:rsidR="00BE4726" w:rsidRPr="00BE4726">
          <w:rPr>
            <w:rFonts w:ascii="Times New Roman" w:hAnsi="Times New Roman"/>
            <w:noProof/>
            <w:webHidden/>
            <w:sz w:val="24"/>
            <w:szCs w:val="24"/>
          </w:rPr>
          <w:instrText xml:space="preserve"> PAGEREF _Toc423618176 \h </w:instrText>
        </w:r>
        <w:r w:rsidRPr="00BE4726">
          <w:rPr>
            <w:rFonts w:ascii="Times New Roman" w:hAnsi="Times New Roman"/>
            <w:noProof/>
            <w:webHidden/>
            <w:sz w:val="24"/>
            <w:szCs w:val="24"/>
          </w:rPr>
        </w:r>
        <w:r w:rsidRPr="00BE4726">
          <w:rPr>
            <w:rFonts w:ascii="Times New Roman" w:hAnsi="Times New Roman"/>
            <w:noProof/>
            <w:webHidden/>
            <w:sz w:val="24"/>
            <w:szCs w:val="24"/>
          </w:rPr>
          <w:fldChar w:fldCharType="separate"/>
        </w:r>
        <w:r w:rsidR="000C6C14">
          <w:rPr>
            <w:rFonts w:ascii="Times New Roman" w:hAnsi="Times New Roman"/>
            <w:noProof/>
            <w:webHidden/>
            <w:sz w:val="24"/>
            <w:szCs w:val="24"/>
          </w:rPr>
          <w:t>8</w:t>
        </w:r>
        <w:r w:rsidRPr="00BE4726">
          <w:rPr>
            <w:rFonts w:ascii="Times New Roman" w:hAnsi="Times New Roman"/>
            <w:noProof/>
            <w:webHidden/>
            <w:sz w:val="24"/>
            <w:szCs w:val="24"/>
          </w:rPr>
          <w:fldChar w:fldCharType="end"/>
        </w:r>
      </w:hyperlink>
    </w:p>
    <w:p w:rsidR="0091090D" w:rsidRPr="00BE4726" w:rsidRDefault="004460D8" w:rsidP="0091090D">
      <w:pPr>
        <w:pStyle w:val="CoverPageSummary"/>
        <w:spacing w:before="0"/>
      </w:pPr>
      <w:r w:rsidRPr="00BE4726">
        <w:fldChar w:fldCharType="end"/>
      </w:r>
    </w:p>
    <w:p w:rsidR="0091090D" w:rsidRDefault="0091090D" w:rsidP="003707C6">
      <w:pPr>
        <w:pStyle w:val="CoverPageSummary"/>
        <w:spacing w:before="0"/>
      </w:pPr>
    </w:p>
    <w:p w:rsidR="0091090D" w:rsidRDefault="0091090D" w:rsidP="003707C6">
      <w:pPr>
        <w:pStyle w:val="CoverPageSummary"/>
        <w:spacing w:before="0"/>
      </w:pPr>
    </w:p>
    <w:p w:rsidR="0091090D" w:rsidRPr="003707C6" w:rsidRDefault="003707C6" w:rsidP="002B3BD7">
      <w:pPr>
        <w:pStyle w:val="CoverPageSummary"/>
        <w:spacing w:before="0" w:after="120"/>
        <w:rPr>
          <w:rFonts w:ascii="Arial Bold" w:hAnsi="Arial Bold"/>
          <w:b/>
          <w:smallCaps/>
          <w:color w:val="1F497D"/>
          <w:sz w:val="28"/>
        </w:rPr>
      </w:pPr>
      <w:r w:rsidRPr="003707C6">
        <w:rPr>
          <w:rFonts w:ascii="Arial Bold" w:hAnsi="Arial Bold"/>
          <w:b/>
          <w:smallCaps/>
          <w:color w:val="1F497D"/>
          <w:sz w:val="28"/>
        </w:rPr>
        <w:t>Appendices</w:t>
      </w:r>
    </w:p>
    <w:p w:rsidR="003707C6" w:rsidRDefault="003707C6" w:rsidP="003707C6">
      <w:pPr>
        <w:pStyle w:val="CoverPageSummary"/>
        <w:spacing w:before="0"/>
      </w:pPr>
      <w:r>
        <w:t>Appendix A:</w:t>
      </w:r>
      <w:r>
        <w:tab/>
      </w:r>
      <w:r w:rsidR="002B3BD7">
        <w:t>For Further Information</w:t>
      </w:r>
    </w:p>
    <w:p w:rsidR="003707C6" w:rsidRDefault="003707C6" w:rsidP="003707C6">
      <w:pPr>
        <w:pStyle w:val="CoverPageSummary"/>
        <w:spacing w:before="0"/>
      </w:pPr>
    </w:p>
    <w:p w:rsidR="003707C6" w:rsidRDefault="003707C6" w:rsidP="003707C6">
      <w:pPr>
        <w:pStyle w:val="CoverPageSummary"/>
        <w:spacing w:before="0"/>
      </w:pPr>
    </w:p>
    <w:p w:rsidR="003707C6" w:rsidRDefault="003707C6" w:rsidP="003707C6">
      <w:pPr>
        <w:pStyle w:val="CoverPageSummary"/>
        <w:spacing w:before="0"/>
        <w:sectPr w:rsidR="003707C6" w:rsidSect="009B4B26">
          <w:footerReference w:type="default" r:id="rId13"/>
          <w:pgSz w:w="12240" w:h="15840" w:code="1"/>
          <w:pgMar w:top="1440" w:right="1440" w:bottom="1440" w:left="1440" w:header="720" w:footer="720" w:gutter="0"/>
          <w:pgNumType w:fmt="lowerRoman" w:start="2"/>
          <w:cols w:space="720"/>
          <w:docGrid w:linePitch="360"/>
        </w:sectPr>
      </w:pPr>
    </w:p>
    <w:p w:rsidR="00A43A33" w:rsidRDefault="00ED2316" w:rsidP="0006298D">
      <w:pPr>
        <w:pStyle w:val="Heading1"/>
        <w:spacing w:before="0"/>
        <w:rPr>
          <w:rFonts w:ascii="Arial" w:hAnsi="Arial"/>
        </w:rPr>
      </w:pPr>
      <w:bookmarkStart w:id="1" w:name="_Toc423618158"/>
      <w:r>
        <w:rPr>
          <w:rFonts w:ascii="Arial" w:hAnsi="Arial"/>
        </w:rPr>
        <w:lastRenderedPageBreak/>
        <w:t>Toolkit Materials</w:t>
      </w:r>
      <w:bookmarkEnd w:id="1"/>
    </w:p>
    <w:p w:rsidR="003A47C1" w:rsidRPr="003A47C1" w:rsidRDefault="003A47C1" w:rsidP="003A47C1">
      <w:pPr>
        <w:pStyle w:val="BodyText"/>
      </w:pPr>
      <w:r>
        <w:t xml:space="preserve">The toolkit contains materials for drill </w:t>
      </w:r>
      <w:r w:rsidR="00E8168A">
        <w:rPr>
          <w:b/>
          <w:color w:val="00B050"/>
        </w:rPr>
        <w:t>design and development</w:t>
      </w:r>
      <w:r>
        <w:t xml:space="preserve">, </w:t>
      </w:r>
      <w:r w:rsidR="00E8168A">
        <w:rPr>
          <w:b/>
          <w:color w:val="002060"/>
        </w:rPr>
        <w:t>conduct</w:t>
      </w:r>
      <w:r>
        <w:t xml:space="preserve">, and </w:t>
      </w:r>
      <w:r w:rsidRPr="003A47C1">
        <w:rPr>
          <w:b/>
          <w:color w:val="C0504D" w:themeColor="accent2"/>
        </w:rPr>
        <w:t>evaluation</w:t>
      </w:r>
      <w:r>
        <w:t>:</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tblPr>
      <w:tblGrid>
        <w:gridCol w:w="2898"/>
        <w:gridCol w:w="6678"/>
      </w:tblGrid>
      <w:tr w:rsidR="00ED2316" w:rsidRPr="001D6096" w:rsidTr="0006298D">
        <w:trPr>
          <w:trHeight w:val="437"/>
        </w:trPr>
        <w:tc>
          <w:tcPr>
            <w:tcW w:w="2898" w:type="dxa"/>
            <w:shd w:val="clear" w:color="auto" w:fill="00B050"/>
            <w:vAlign w:val="center"/>
          </w:tcPr>
          <w:p w:rsidR="00ED2316" w:rsidRDefault="00ED2316" w:rsidP="00ED2316">
            <w:pPr>
              <w:spacing w:before="120" w:after="120"/>
              <w:jc w:val="center"/>
              <w:rPr>
                <w:b/>
                <w:color w:val="FFFFFF" w:themeColor="background1"/>
                <w:szCs w:val="20"/>
              </w:rPr>
            </w:pPr>
            <w:r>
              <w:rPr>
                <w:b/>
                <w:color w:val="FFFFFF" w:themeColor="background1"/>
                <w:szCs w:val="20"/>
              </w:rPr>
              <w:t>Instructions and Presentations for Planning Meetings</w:t>
            </w:r>
          </w:p>
        </w:tc>
        <w:tc>
          <w:tcPr>
            <w:tcW w:w="6678" w:type="dxa"/>
            <w:vAlign w:val="center"/>
          </w:tcPr>
          <w:p w:rsidR="00ED2316" w:rsidRPr="00ED2316" w:rsidRDefault="00ED2316" w:rsidP="000563D7">
            <w:pPr>
              <w:spacing w:before="120" w:after="120"/>
              <w:rPr>
                <w:szCs w:val="20"/>
              </w:rPr>
            </w:pPr>
            <w:r w:rsidRPr="00ED2316">
              <w:rPr>
                <w:szCs w:val="20"/>
              </w:rPr>
              <w:t>Presentation Templates and Instructions for the Concept and Objectives Meeting, Initial Planning Meeting, Midterm Planning Meeting, and Final Planning Meeting</w:t>
            </w:r>
          </w:p>
        </w:tc>
      </w:tr>
      <w:tr w:rsidR="00723A64" w:rsidRPr="001D6096" w:rsidTr="0006298D">
        <w:trPr>
          <w:trHeight w:val="437"/>
        </w:trPr>
        <w:tc>
          <w:tcPr>
            <w:tcW w:w="2898" w:type="dxa"/>
            <w:shd w:val="clear" w:color="auto" w:fill="00B050"/>
            <w:vAlign w:val="center"/>
          </w:tcPr>
          <w:p w:rsidR="00723A64" w:rsidRPr="00E37AC9" w:rsidRDefault="00B3384C" w:rsidP="00B3384C">
            <w:pPr>
              <w:spacing w:before="120" w:after="120"/>
              <w:jc w:val="center"/>
              <w:rPr>
                <w:b/>
                <w:color w:val="FFFFFF" w:themeColor="background1"/>
                <w:szCs w:val="20"/>
              </w:rPr>
            </w:pPr>
            <w:r>
              <w:rPr>
                <w:b/>
                <w:color w:val="FFFFFF" w:themeColor="background1"/>
                <w:szCs w:val="20"/>
              </w:rPr>
              <w:t xml:space="preserve">Objectives, </w:t>
            </w:r>
            <w:r w:rsidR="00ED2316">
              <w:rPr>
                <w:b/>
                <w:color w:val="FFFFFF" w:themeColor="background1"/>
                <w:szCs w:val="20"/>
              </w:rPr>
              <w:t>Capabilities,</w:t>
            </w:r>
            <w:r>
              <w:rPr>
                <w:b/>
                <w:color w:val="FFFFFF" w:themeColor="background1"/>
                <w:szCs w:val="20"/>
              </w:rPr>
              <w:t xml:space="preserve"> and</w:t>
            </w:r>
            <w:r w:rsidR="00ED2316">
              <w:rPr>
                <w:b/>
                <w:color w:val="FFFFFF" w:themeColor="background1"/>
                <w:szCs w:val="20"/>
              </w:rPr>
              <w:t xml:space="preserve"> Tasks</w:t>
            </w:r>
          </w:p>
        </w:tc>
        <w:tc>
          <w:tcPr>
            <w:tcW w:w="6678" w:type="dxa"/>
            <w:vAlign w:val="center"/>
          </w:tcPr>
          <w:p w:rsidR="00723A64" w:rsidRPr="00ED2316" w:rsidRDefault="00A86AD8" w:rsidP="00A86AD8">
            <w:pPr>
              <w:spacing w:before="120" w:after="120"/>
              <w:rPr>
                <w:b/>
                <w:szCs w:val="20"/>
              </w:rPr>
            </w:pPr>
            <w:r>
              <w:rPr>
                <w:szCs w:val="20"/>
              </w:rPr>
              <w:t xml:space="preserve">Core capabilities and general targets for </w:t>
            </w:r>
            <w:r w:rsidR="00BF28DC">
              <w:rPr>
                <w:szCs w:val="20"/>
              </w:rPr>
              <w:t>Community Reception Centers (</w:t>
            </w:r>
            <w:r>
              <w:rPr>
                <w:szCs w:val="20"/>
              </w:rPr>
              <w:t>CRCs</w:t>
            </w:r>
            <w:r w:rsidR="00BF28DC">
              <w:rPr>
                <w:szCs w:val="20"/>
              </w:rPr>
              <w:t>)</w:t>
            </w:r>
            <w:r>
              <w:rPr>
                <w:szCs w:val="20"/>
              </w:rPr>
              <w:t xml:space="preserve"> as part of the Response Mission Area; suggested objectives and associated capabilities and tasks for a CRC drill</w:t>
            </w:r>
          </w:p>
        </w:tc>
      </w:tr>
      <w:tr w:rsidR="00723A64" w:rsidRPr="001D6096" w:rsidTr="0006298D">
        <w:trPr>
          <w:trHeight w:val="432"/>
        </w:trPr>
        <w:tc>
          <w:tcPr>
            <w:tcW w:w="2898" w:type="dxa"/>
            <w:shd w:val="clear" w:color="auto" w:fill="00B050"/>
            <w:vAlign w:val="center"/>
          </w:tcPr>
          <w:p w:rsidR="00723A64" w:rsidRPr="00E37AC9" w:rsidRDefault="00ED2316" w:rsidP="00B06C08">
            <w:pPr>
              <w:spacing w:before="120" w:after="120"/>
              <w:jc w:val="center"/>
              <w:rPr>
                <w:b/>
                <w:color w:val="FFFFFF" w:themeColor="background1"/>
                <w:szCs w:val="20"/>
              </w:rPr>
            </w:pPr>
            <w:r>
              <w:rPr>
                <w:b/>
                <w:color w:val="FFFFFF" w:themeColor="background1"/>
                <w:szCs w:val="20"/>
              </w:rPr>
              <w:t>CRC Drill Supply List and Suggested Staffing</w:t>
            </w:r>
          </w:p>
        </w:tc>
        <w:tc>
          <w:tcPr>
            <w:tcW w:w="6678" w:type="dxa"/>
            <w:vAlign w:val="center"/>
          </w:tcPr>
          <w:p w:rsidR="00723A64" w:rsidRPr="00ED2316" w:rsidRDefault="00A86AD8" w:rsidP="00A86AD8">
            <w:pPr>
              <w:spacing w:before="120" w:after="120"/>
              <w:rPr>
                <w:szCs w:val="20"/>
              </w:rPr>
            </w:pPr>
            <w:r>
              <w:rPr>
                <w:szCs w:val="20"/>
              </w:rPr>
              <w:t>List of supplies potentially needed for the drill and suggested number of participants in each role</w:t>
            </w:r>
          </w:p>
        </w:tc>
      </w:tr>
      <w:tr w:rsidR="00723A64" w:rsidRPr="001D6096" w:rsidTr="00E64FB1">
        <w:trPr>
          <w:trHeight w:val="432"/>
        </w:trPr>
        <w:tc>
          <w:tcPr>
            <w:tcW w:w="2898" w:type="dxa"/>
            <w:tcBorders>
              <w:bottom w:val="single" w:sz="36" w:space="0" w:color="FFFFFF" w:themeColor="background1"/>
            </w:tcBorders>
            <w:shd w:val="clear" w:color="auto" w:fill="00B050"/>
            <w:vAlign w:val="center"/>
          </w:tcPr>
          <w:p w:rsidR="00723A64" w:rsidRDefault="00ED2316" w:rsidP="00DF1FE1">
            <w:pPr>
              <w:spacing w:before="120" w:after="120"/>
              <w:jc w:val="center"/>
              <w:rPr>
                <w:b/>
                <w:color w:val="FFFFFF" w:themeColor="background1"/>
                <w:szCs w:val="20"/>
              </w:rPr>
            </w:pPr>
            <w:r>
              <w:rPr>
                <w:b/>
                <w:color w:val="FFFFFF" w:themeColor="background1"/>
                <w:szCs w:val="20"/>
              </w:rPr>
              <w:t>Guidance for Venue Selection</w:t>
            </w:r>
          </w:p>
        </w:tc>
        <w:tc>
          <w:tcPr>
            <w:tcW w:w="6678" w:type="dxa"/>
            <w:vAlign w:val="center"/>
          </w:tcPr>
          <w:p w:rsidR="00723A64" w:rsidRPr="00ED2316" w:rsidRDefault="00A86AD8" w:rsidP="00A86AD8">
            <w:pPr>
              <w:spacing w:before="120" w:after="120"/>
              <w:rPr>
                <w:szCs w:val="20"/>
              </w:rPr>
            </w:pPr>
            <w:r>
              <w:rPr>
                <w:szCs w:val="20"/>
              </w:rPr>
              <w:t>Considerations when choosing a venue for the drill</w:t>
            </w:r>
          </w:p>
        </w:tc>
      </w:tr>
      <w:tr w:rsidR="00B94025" w:rsidRPr="001D6096" w:rsidTr="00E64FB1">
        <w:trPr>
          <w:trHeight w:val="432"/>
        </w:trPr>
        <w:tc>
          <w:tcPr>
            <w:tcW w:w="2898" w:type="dxa"/>
            <w:shd w:val="thinDiagStripe" w:color="002E8A" w:fill="00B050"/>
            <w:vAlign w:val="center"/>
          </w:tcPr>
          <w:p w:rsidR="00B94025" w:rsidRPr="00E37AC9" w:rsidRDefault="00B94025" w:rsidP="003F3478">
            <w:pPr>
              <w:spacing w:before="120" w:after="120"/>
              <w:jc w:val="center"/>
              <w:rPr>
                <w:b/>
                <w:color w:val="FFFFFF" w:themeColor="background1"/>
                <w:szCs w:val="20"/>
              </w:rPr>
            </w:pPr>
            <w:r>
              <w:rPr>
                <w:b/>
                <w:color w:val="FFFFFF" w:themeColor="background1"/>
                <w:szCs w:val="20"/>
              </w:rPr>
              <w:t>Scenario Narrative</w:t>
            </w:r>
          </w:p>
        </w:tc>
        <w:tc>
          <w:tcPr>
            <w:tcW w:w="6678" w:type="dxa"/>
            <w:vAlign w:val="center"/>
          </w:tcPr>
          <w:p w:rsidR="00B94025" w:rsidRPr="00ED2316" w:rsidRDefault="00B94025" w:rsidP="003F3478">
            <w:pPr>
              <w:pStyle w:val="BodyText"/>
            </w:pPr>
            <w:r>
              <w:t>Suggested scenario to provide a framework for the drill</w:t>
            </w:r>
          </w:p>
        </w:tc>
      </w:tr>
      <w:tr w:rsidR="00B94025" w:rsidRPr="001D6096" w:rsidTr="00E64FB1">
        <w:trPr>
          <w:trHeight w:val="432"/>
        </w:trPr>
        <w:tc>
          <w:tcPr>
            <w:tcW w:w="2898" w:type="dxa"/>
            <w:shd w:val="thinDiagStripe" w:color="002E8A" w:fill="00B050"/>
            <w:vAlign w:val="center"/>
          </w:tcPr>
          <w:p w:rsidR="00B94025" w:rsidRPr="00E37AC9" w:rsidRDefault="00B94025" w:rsidP="003F3478">
            <w:pPr>
              <w:spacing w:before="120" w:after="120"/>
              <w:jc w:val="center"/>
              <w:rPr>
                <w:b/>
                <w:color w:val="FFFFFF" w:themeColor="background1"/>
                <w:szCs w:val="20"/>
              </w:rPr>
            </w:pPr>
            <w:r>
              <w:rPr>
                <w:b/>
                <w:color w:val="FFFFFF" w:themeColor="background1"/>
                <w:szCs w:val="20"/>
              </w:rPr>
              <w:t>Master Scenario Events List Template</w:t>
            </w:r>
          </w:p>
        </w:tc>
        <w:tc>
          <w:tcPr>
            <w:tcW w:w="6678" w:type="dxa"/>
            <w:vAlign w:val="center"/>
          </w:tcPr>
          <w:p w:rsidR="00B94025" w:rsidRPr="00ED2316" w:rsidRDefault="00B94025" w:rsidP="008308AF">
            <w:pPr>
              <w:spacing w:before="120" w:after="120"/>
              <w:rPr>
                <w:b/>
                <w:szCs w:val="20"/>
              </w:rPr>
            </w:pPr>
            <w:r>
              <w:rPr>
                <w:szCs w:val="20"/>
              </w:rPr>
              <w:t>Suggested schedule for the drill and major events and injects</w:t>
            </w:r>
          </w:p>
        </w:tc>
      </w:tr>
      <w:tr w:rsidR="00B94025" w:rsidRPr="001D6096" w:rsidTr="005514E9">
        <w:trPr>
          <w:trHeight w:val="432"/>
        </w:trPr>
        <w:tc>
          <w:tcPr>
            <w:tcW w:w="2898" w:type="dxa"/>
            <w:shd w:val="thinDiagStripe" w:color="002E8A" w:fill="00B050"/>
            <w:vAlign w:val="center"/>
          </w:tcPr>
          <w:p w:rsidR="00B94025" w:rsidRDefault="00B94025" w:rsidP="00B06C08">
            <w:pPr>
              <w:spacing w:before="120" w:after="120"/>
              <w:jc w:val="center"/>
              <w:rPr>
                <w:b/>
                <w:color w:val="FFFFFF" w:themeColor="background1"/>
                <w:szCs w:val="20"/>
              </w:rPr>
            </w:pPr>
            <w:proofErr w:type="spellStart"/>
            <w:r>
              <w:rPr>
                <w:b/>
                <w:color w:val="FFFFFF" w:themeColor="background1"/>
                <w:szCs w:val="20"/>
              </w:rPr>
              <w:t>Symptomology</w:t>
            </w:r>
            <w:proofErr w:type="spellEnd"/>
            <w:r>
              <w:rPr>
                <w:b/>
                <w:color w:val="FFFFFF" w:themeColor="background1"/>
                <w:szCs w:val="20"/>
              </w:rPr>
              <w:t xml:space="preserve"> Cards and Instructions</w:t>
            </w:r>
          </w:p>
        </w:tc>
        <w:tc>
          <w:tcPr>
            <w:tcW w:w="6678" w:type="dxa"/>
            <w:vAlign w:val="center"/>
          </w:tcPr>
          <w:p w:rsidR="00B94025" w:rsidRPr="00ED2316" w:rsidRDefault="00B94025" w:rsidP="00682182">
            <w:pPr>
              <w:spacing w:before="120" w:after="120"/>
              <w:rPr>
                <w:szCs w:val="20"/>
              </w:rPr>
            </w:pPr>
            <w:r>
              <w:rPr>
                <w:szCs w:val="20"/>
              </w:rPr>
              <w:t xml:space="preserve">Pre-populated and blank </w:t>
            </w:r>
            <w:proofErr w:type="spellStart"/>
            <w:r>
              <w:rPr>
                <w:szCs w:val="20"/>
              </w:rPr>
              <w:t>Symptomology</w:t>
            </w:r>
            <w:proofErr w:type="spellEnd"/>
            <w:r>
              <w:rPr>
                <w:szCs w:val="20"/>
              </w:rPr>
              <w:t xml:space="preserve"> Cards (Actor Cards and Contamination Cards) and instructions for </w:t>
            </w:r>
            <w:r w:rsidR="00682182">
              <w:rPr>
                <w:szCs w:val="20"/>
              </w:rPr>
              <w:t>using them</w:t>
            </w:r>
            <w:r>
              <w:rPr>
                <w:szCs w:val="20"/>
              </w:rPr>
              <w:t xml:space="preserve"> to drive drill play</w:t>
            </w:r>
          </w:p>
        </w:tc>
      </w:tr>
      <w:tr w:rsidR="00B94025" w:rsidRPr="001D6096" w:rsidTr="00A86AD8">
        <w:trPr>
          <w:trHeight w:val="432"/>
        </w:trPr>
        <w:tc>
          <w:tcPr>
            <w:tcW w:w="2898" w:type="dxa"/>
            <w:shd w:val="clear" w:color="auto" w:fill="000080"/>
            <w:vAlign w:val="center"/>
          </w:tcPr>
          <w:p w:rsidR="00B94025" w:rsidRDefault="00B94025" w:rsidP="00B06C08">
            <w:pPr>
              <w:spacing w:before="120" w:after="120"/>
              <w:jc w:val="center"/>
              <w:rPr>
                <w:b/>
                <w:color w:val="FFFFFF" w:themeColor="background1"/>
                <w:szCs w:val="20"/>
              </w:rPr>
            </w:pPr>
            <w:r>
              <w:rPr>
                <w:b/>
                <w:color w:val="FFFFFF" w:themeColor="background1"/>
                <w:szCs w:val="20"/>
              </w:rPr>
              <w:t>Participant Briefing Presentations</w:t>
            </w:r>
          </w:p>
        </w:tc>
        <w:tc>
          <w:tcPr>
            <w:tcW w:w="6678" w:type="dxa"/>
            <w:vAlign w:val="center"/>
          </w:tcPr>
          <w:p w:rsidR="00B94025" w:rsidRPr="00ED2316" w:rsidRDefault="00B94025" w:rsidP="00FF3F60">
            <w:pPr>
              <w:spacing w:before="120" w:after="120"/>
              <w:rPr>
                <w:szCs w:val="20"/>
              </w:rPr>
            </w:pPr>
            <w:r>
              <w:rPr>
                <w:szCs w:val="20"/>
              </w:rPr>
              <w:t xml:space="preserve">Presentation templates for the Actor, Controller/Evaluator, and Player Pre-Drill Briefings; the Participant Onsite Final Briefing; </w:t>
            </w:r>
            <w:r w:rsidR="00FF3F60">
              <w:rPr>
                <w:szCs w:val="20"/>
              </w:rPr>
              <w:t xml:space="preserve">the Observer/Media Briefing; </w:t>
            </w:r>
            <w:r>
              <w:rPr>
                <w:szCs w:val="20"/>
              </w:rPr>
              <w:t>and the Controller/Evaluator Debriefing</w:t>
            </w:r>
          </w:p>
        </w:tc>
      </w:tr>
      <w:tr w:rsidR="00B94025" w:rsidRPr="001D6096" w:rsidTr="00A86AD8">
        <w:trPr>
          <w:trHeight w:val="432"/>
        </w:trPr>
        <w:tc>
          <w:tcPr>
            <w:tcW w:w="2898" w:type="dxa"/>
            <w:shd w:val="clear" w:color="auto" w:fill="000080"/>
            <w:vAlign w:val="center"/>
          </w:tcPr>
          <w:p w:rsidR="00B94025" w:rsidRPr="00E37AC9" w:rsidRDefault="00B94025" w:rsidP="00B06C08">
            <w:pPr>
              <w:spacing w:before="120" w:after="120"/>
              <w:jc w:val="center"/>
              <w:rPr>
                <w:b/>
                <w:color w:val="FFFFFF" w:themeColor="background1"/>
                <w:szCs w:val="20"/>
              </w:rPr>
            </w:pPr>
            <w:r>
              <w:rPr>
                <w:b/>
                <w:color w:val="FFFFFF" w:themeColor="background1"/>
                <w:szCs w:val="20"/>
              </w:rPr>
              <w:t>Participant Handbooks</w:t>
            </w:r>
          </w:p>
        </w:tc>
        <w:tc>
          <w:tcPr>
            <w:tcW w:w="6678" w:type="dxa"/>
            <w:vAlign w:val="center"/>
          </w:tcPr>
          <w:p w:rsidR="00B94025" w:rsidRPr="00ED2316" w:rsidRDefault="00B94025" w:rsidP="00ED2316">
            <w:pPr>
              <w:spacing w:before="120" w:after="120"/>
              <w:rPr>
                <w:b/>
                <w:szCs w:val="20"/>
              </w:rPr>
            </w:pPr>
            <w:r>
              <w:rPr>
                <w:szCs w:val="20"/>
              </w:rPr>
              <w:t>Templates for the Exercise Plan (</w:t>
            </w:r>
            <w:proofErr w:type="spellStart"/>
            <w:r>
              <w:rPr>
                <w:szCs w:val="20"/>
              </w:rPr>
              <w:t>ExPlan</w:t>
            </w:r>
            <w:proofErr w:type="spellEnd"/>
            <w:r>
              <w:rPr>
                <w:szCs w:val="20"/>
              </w:rPr>
              <w:t>), Player Handbook, Actor Instructions, and Controller/Evaluator Handbook</w:t>
            </w:r>
          </w:p>
        </w:tc>
      </w:tr>
      <w:tr w:rsidR="00B94025" w:rsidRPr="001D6096" w:rsidTr="0006298D">
        <w:trPr>
          <w:trHeight w:val="432"/>
        </w:trPr>
        <w:tc>
          <w:tcPr>
            <w:tcW w:w="2898" w:type="dxa"/>
            <w:tcBorders>
              <w:bottom w:val="single" w:sz="36" w:space="0" w:color="FFFFFF" w:themeColor="background1"/>
            </w:tcBorders>
            <w:shd w:val="clear" w:color="auto" w:fill="000080"/>
            <w:vAlign w:val="center"/>
          </w:tcPr>
          <w:p w:rsidR="00B94025" w:rsidRDefault="00B94025" w:rsidP="003F3478">
            <w:pPr>
              <w:spacing w:before="120" w:after="120"/>
              <w:jc w:val="center"/>
              <w:rPr>
                <w:b/>
                <w:color w:val="FFFFFF" w:themeColor="background1"/>
                <w:szCs w:val="20"/>
              </w:rPr>
            </w:pPr>
            <w:r>
              <w:rPr>
                <w:b/>
                <w:color w:val="FFFFFF" w:themeColor="background1"/>
                <w:szCs w:val="20"/>
              </w:rPr>
              <w:t>Name Badge Templates</w:t>
            </w:r>
          </w:p>
        </w:tc>
        <w:tc>
          <w:tcPr>
            <w:tcW w:w="6678" w:type="dxa"/>
            <w:vAlign w:val="center"/>
          </w:tcPr>
          <w:p w:rsidR="00B94025" w:rsidRDefault="00B94025" w:rsidP="003F3478">
            <w:pPr>
              <w:spacing w:before="120" w:after="120"/>
              <w:rPr>
                <w:szCs w:val="20"/>
              </w:rPr>
            </w:pPr>
            <w:r>
              <w:rPr>
                <w:szCs w:val="20"/>
              </w:rPr>
              <w:t>Color-coded name badge templates for all drill participants</w:t>
            </w:r>
          </w:p>
        </w:tc>
      </w:tr>
      <w:tr w:rsidR="00B94025" w:rsidRPr="001D6096" w:rsidTr="0006298D">
        <w:trPr>
          <w:trHeight w:val="432"/>
        </w:trPr>
        <w:tc>
          <w:tcPr>
            <w:tcW w:w="2898" w:type="dxa"/>
            <w:shd w:val="clear" w:color="auto" w:fill="C0504D" w:themeFill="accent2"/>
            <w:vAlign w:val="center"/>
          </w:tcPr>
          <w:p w:rsidR="00B94025" w:rsidRPr="00E37AC9" w:rsidRDefault="00B94025" w:rsidP="00B06C08">
            <w:pPr>
              <w:spacing w:before="120" w:after="120"/>
              <w:jc w:val="center"/>
              <w:rPr>
                <w:b/>
                <w:color w:val="FFFFFF" w:themeColor="background1"/>
                <w:szCs w:val="20"/>
              </w:rPr>
            </w:pPr>
            <w:r>
              <w:rPr>
                <w:b/>
                <w:color w:val="FFFFFF" w:themeColor="background1"/>
                <w:szCs w:val="20"/>
              </w:rPr>
              <w:t>Exercise Evaluation Guides</w:t>
            </w:r>
          </w:p>
        </w:tc>
        <w:tc>
          <w:tcPr>
            <w:tcW w:w="6678" w:type="dxa"/>
            <w:vAlign w:val="center"/>
          </w:tcPr>
          <w:p w:rsidR="00B94025" w:rsidRPr="00ED2316" w:rsidRDefault="00B94025" w:rsidP="00ED2316">
            <w:pPr>
              <w:spacing w:before="120" w:after="120"/>
              <w:rPr>
                <w:szCs w:val="20"/>
              </w:rPr>
            </w:pPr>
            <w:r>
              <w:t xml:space="preserve">Templates for noting evaluator observations for each of the five suggested </w:t>
            </w:r>
            <w:r w:rsidR="00FC35B9">
              <w:t xml:space="preserve">drill </w:t>
            </w:r>
            <w:r>
              <w:t>objectives</w:t>
            </w:r>
          </w:p>
        </w:tc>
      </w:tr>
      <w:tr w:rsidR="00B94025" w:rsidRPr="001D6096" w:rsidTr="0006298D">
        <w:trPr>
          <w:trHeight w:val="432"/>
        </w:trPr>
        <w:tc>
          <w:tcPr>
            <w:tcW w:w="2898" w:type="dxa"/>
            <w:shd w:val="clear" w:color="auto" w:fill="C0504D" w:themeFill="accent2"/>
            <w:vAlign w:val="center"/>
          </w:tcPr>
          <w:p w:rsidR="00B94025" w:rsidRPr="00E37AC9" w:rsidRDefault="00B94025" w:rsidP="00B06C08">
            <w:pPr>
              <w:spacing w:before="120" w:after="120"/>
              <w:jc w:val="center"/>
              <w:rPr>
                <w:b/>
                <w:color w:val="FFFFFF" w:themeColor="background1"/>
                <w:szCs w:val="20"/>
              </w:rPr>
            </w:pPr>
            <w:r>
              <w:rPr>
                <w:b/>
                <w:color w:val="FFFFFF" w:themeColor="background1"/>
                <w:szCs w:val="20"/>
              </w:rPr>
              <w:t>Participant Feedback Forms</w:t>
            </w:r>
          </w:p>
        </w:tc>
        <w:tc>
          <w:tcPr>
            <w:tcW w:w="6678" w:type="dxa"/>
            <w:vAlign w:val="center"/>
          </w:tcPr>
          <w:p w:rsidR="00B94025" w:rsidRPr="00ED2316" w:rsidRDefault="00B94025" w:rsidP="00A86AD8">
            <w:pPr>
              <w:spacing w:before="120" w:after="120"/>
              <w:rPr>
                <w:szCs w:val="20"/>
              </w:rPr>
            </w:pPr>
            <w:r>
              <w:rPr>
                <w:szCs w:val="20"/>
              </w:rPr>
              <w:t>Templates for feedback forms, one for actors and one for all other participants</w:t>
            </w:r>
          </w:p>
        </w:tc>
      </w:tr>
    </w:tbl>
    <w:p w:rsidR="00A43A33" w:rsidRDefault="00A43A33">
      <w:pPr>
        <w:pStyle w:val="BodyText"/>
      </w:pPr>
    </w:p>
    <w:p w:rsidR="00F559A9" w:rsidRPr="00011F2A" w:rsidRDefault="00F559A9" w:rsidP="002D13B0">
      <w:pPr>
        <w:pStyle w:val="BodyText"/>
        <w:sectPr w:rsidR="00F559A9" w:rsidRPr="00011F2A" w:rsidSect="00BE4726">
          <w:footerReference w:type="default" r:id="rId14"/>
          <w:pgSz w:w="12240" w:h="15840" w:code="1"/>
          <w:pgMar w:top="1440" w:right="1440" w:bottom="1440" w:left="1440" w:header="720" w:footer="720" w:gutter="0"/>
          <w:pgNumType w:start="1"/>
          <w:cols w:space="720"/>
          <w:docGrid w:linePitch="360"/>
        </w:sectPr>
      </w:pPr>
    </w:p>
    <w:p w:rsidR="00A43A33" w:rsidRDefault="00856650" w:rsidP="00E57E00">
      <w:pPr>
        <w:pStyle w:val="Heading1"/>
        <w:spacing w:before="0"/>
      </w:pPr>
      <w:bookmarkStart w:id="2" w:name="_Toc423618159"/>
      <w:bookmarkStart w:id="3" w:name="_Toc335992123"/>
      <w:bookmarkStart w:id="4" w:name="_Toc336197855"/>
      <w:bookmarkStart w:id="5" w:name="_Toc336596348"/>
      <w:r>
        <w:lastRenderedPageBreak/>
        <w:t>Introduction</w:t>
      </w:r>
      <w:bookmarkEnd w:id="2"/>
    </w:p>
    <w:p w:rsidR="008A36CA" w:rsidRDefault="00C048AC">
      <w:pPr>
        <w:pStyle w:val="Heading2"/>
        <w:rPr>
          <w:kern w:val="32"/>
        </w:rPr>
      </w:pPr>
      <w:bookmarkStart w:id="6" w:name="_Toc423618160"/>
      <w:r>
        <w:rPr>
          <w:kern w:val="32"/>
        </w:rPr>
        <w:t>Background</w:t>
      </w:r>
      <w:bookmarkEnd w:id="6"/>
      <w:r w:rsidR="008A36CA">
        <w:rPr>
          <w:kern w:val="32"/>
        </w:rPr>
        <w:t xml:space="preserve"> </w:t>
      </w:r>
    </w:p>
    <w:p w:rsidR="00FC35B9" w:rsidRDefault="00C048AC" w:rsidP="008A36CA">
      <w:pPr>
        <w:rPr>
          <w:kern w:val="32"/>
        </w:rPr>
      </w:pPr>
      <w:r>
        <w:rPr>
          <w:kern w:val="32"/>
        </w:rPr>
        <w:t xml:space="preserve">The CRC Drill envisioned through this toolkit is intended to help jurisdictions test and validate their plans and capabilities for population monitoring at the CRC and identify both gaps in those capabilities and areas for improvement. It is designed to establish a learning environment for players to exercise emergency response plans, policies, and procedures as they pertain to operating a CRC. </w:t>
      </w:r>
    </w:p>
    <w:p w:rsidR="00FC35B9" w:rsidRDefault="00FC35B9" w:rsidP="008A36CA">
      <w:pPr>
        <w:rPr>
          <w:kern w:val="32"/>
        </w:rPr>
      </w:pPr>
    </w:p>
    <w:p w:rsidR="00C048AC" w:rsidRDefault="00C048AC" w:rsidP="008A36CA">
      <w:pPr>
        <w:rPr>
          <w:kern w:val="32"/>
        </w:rPr>
      </w:pPr>
      <w:r>
        <w:rPr>
          <w:kern w:val="32"/>
        </w:rPr>
        <w:t>A d</w:t>
      </w:r>
      <w:r w:rsidRPr="008A36CA">
        <w:rPr>
          <w:kern w:val="32"/>
        </w:rPr>
        <w:t xml:space="preserve">rill is a complex event that requires detailed planning. To ensure an effective </w:t>
      </w:r>
      <w:r>
        <w:rPr>
          <w:kern w:val="32"/>
        </w:rPr>
        <w:t>event</w:t>
      </w:r>
      <w:r w:rsidRPr="008A36CA">
        <w:rPr>
          <w:kern w:val="32"/>
        </w:rPr>
        <w:t xml:space="preserve">, subject matter experts and local representatives from </w:t>
      </w:r>
      <w:r w:rsidR="00FC35B9">
        <w:rPr>
          <w:kern w:val="32"/>
        </w:rPr>
        <w:t>a range of</w:t>
      </w:r>
      <w:r>
        <w:rPr>
          <w:kern w:val="32"/>
        </w:rPr>
        <w:t xml:space="preserve"> </w:t>
      </w:r>
      <w:r w:rsidRPr="008A36CA">
        <w:rPr>
          <w:kern w:val="32"/>
        </w:rPr>
        <w:t>agencies</w:t>
      </w:r>
      <w:r w:rsidR="00FC35B9">
        <w:rPr>
          <w:kern w:val="32"/>
        </w:rPr>
        <w:t xml:space="preserve"> and organizations</w:t>
      </w:r>
      <w:r w:rsidRPr="008A36CA">
        <w:rPr>
          <w:kern w:val="32"/>
        </w:rPr>
        <w:t xml:space="preserve"> </w:t>
      </w:r>
      <w:r>
        <w:rPr>
          <w:kern w:val="32"/>
        </w:rPr>
        <w:t>will likely take</w:t>
      </w:r>
      <w:r w:rsidRPr="008A36CA">
        <w:rPr>
          <w:kern w:val="32"/>
        </w:rPr>
        <w:t xml:space="preserve"> part in the planning process</w:t>
      </w:r>
      <w:r>
        <w:rPr>
          <w:kern w:val="32"/>
        </w:rPr>
        <w:t xml:space="preserve"> and </w:t>
      </w:r>
      <w:r w:rsidRPr="008A36CA">
        <w:rPr>
          <w:kern w:val="32"/>
        </w:rPr>
        <w:t xml:space="preserve">in </w:t>
      </w:r>
      <w:r>
        <w:rPr>
          <w:kern w:val="32"/>
        </w:rPr>
        <w:t>drill</w:t>
      </w:r>
      <w:r w:rsidRPr="008A36CA">
        <w:rPr>
          <w:kern w:val="32"/>
        </w:rPr>
        <w:t xml:space="preserve"> conduct and evaluation.</w:t>
      </w:r>
      <w:r w:rsidR="00FC35B9">
        <w:rPr>
          <w:kern w:val="32"/>
        </w:rPr>
        <w:t xml:space="preserve"> This toolkit is intended to support and facilitate this process, and to provide the tools and materials needed to plan, conduct, and evaluate the drill. </w:t>
      </w:r>
    </w:p>
    <w:p w:rsidR="00C048AC" w:rsidRDefault="00C048AC" w:rsidP="008A36CA">
      <w:pPr>
        <w:rPr>
          <w:kern w:val="32"/>
        </w:rPr>
      </w:pPr>
    </w:p>
    <w:p w:rsidR="00856650" w:rsidRDefault="00C048AC" w:rsidP="008A36CA">
      <w:pPr>
        <w:rPr>
          <w:kern w:val="32"/>
        </w:rPr>
      </w:pPr>
      <w:r>
        <w:rPr>
          <w:kern w:val="32"/>
        </w:rPr>
        <w:t xml:space="preserve">The core capabilities and objectives suggested for the CRC Drill link back to the National Preparedness Goal and Universal Task List for the Response Mission Area. </w:t>
      </w:r>
      <w:r w:rsidR="00CA302D">
        <w:rPr>
          <w:kern w:val="32"/>
        </w:rPr>
        <w:t xml:space="preserve">The CRC Drill follows the guiding principles of </w:t>
      </w:r>
      <w:r w:rsidR="00BF28DC">
        <w:t>the U.S. Department of Homeland Security’s Homeland Security Exercise and Evaluation Program</w:t>
      </w:r>
      <w:r w:rsidR="00BF28DC">
        <w:rPr>
          <w:kern w:val="32"/>
        </w:rPr>
        <w:t xml:space="preserve"> (</w:t>
      </w:r>
      <w:r w:rsidR="00CA302D">
        <w:rPr>
          <w:kern w:val="32"/>
        </w:rPr>
        <w:t>HSEEP</w:t>
      </w:r>
      <w:r w:rsidR="00BF28DC">
        <w:rPr>
          <w:kern w:val="32"/>
        </w:rPr>
        <w:t>)</w:t>
      </w:r>
      <w:r w:rsidR="00CA302D">
        <w:rPr>
          <w:kern w:val="32"/>
        </w:rPr>
        <w:t xml:space="preserve"> and uses its common approach to exercise design and development, conduct, and evaluation. </w:t>
      </w:r>
    </w:p>
    <w:p w:rsidR="00FC35B9" w:rsidRDefault="00FC35B9" w:rsidP="008A36CA">
      <w:pPr>
        <w:rPr>
          <w:kern w:val="32"/>
        </w:rPr>
      </w:pPr>
    </w:p>
    <w:p w:rsidR="00FC35B9" w:rsidRDefault="00FC35B9" w:rsidP="008A36CA">
      <w:pPr>
        <w:rPr>
          <w:kern w:val="32"/>
        </w:rPr>
      </w:pPr>
      <w:r>
        <w:rPr>
          <w:kern w:val="32"/>
        </w:rPr>
        <w:t>This instruction manual is divided into three broad sections: Drill Design and Development, Drill Conduct, and Drill Evaluation.</w:t>
      </w:r>
    </w:p>
    <w:p w:rsidR="00C048AC" w:rsidRDefault="00C048AC" w:rsidP="00C048AC">
      <w:pPr>
        <w:pStyle w:val="Heading2"/>
        <w:rPr>
          <w:kern w:val="32"/>
        </w:rPr>
      </w:pPr>
      <w:bookmarkStart w:id="7" w:name="_Toc423618161"/>
      <w:r>
        <w:rPr>
          <w:kern w:val="32"/>
        </w:rPr>
        <w:t>Drill Design and Development</w:t>
      </w:r>
      <w:bookmarkEnd w:id="7"/>
      <w:r>
        <w:rPr>
          <w:kern w:val="32"/>
        </w:rPr>
        <w:t xml:space="preserve"> </w:t>
      </w:r>
    </w:p>
    <w:p w:rsidR="00C048AC" w:rsidRDefault="00C048AC" w:rsidP="008A36CA">
      <w:pPr>
        <w:rPr>
          <w:kern w:val="32"/>
        </w:rPr>
      </w:pPr>
      <w:r>
        <w:rPr>
          <w:kern w:val="32"/>
        </w:rPr>
        <w:t>In this phase, the Drill Planning Team is identified to schedule planning meetings, identify and develop drill objectives, design the scenario</w:t>
      </w:r>
      <w:r w:rsidR="00DF4A67">
        <w:rPr>
          <w:kern w:val="32"/>
        </w:rPr>
        <w:t xml:space="preserve"> and drill events</w:t>
      </w:r>
      <w:r>
        <w:rPr>
          <w:kern w:val="32"/>
        </w:rPr>
        <w:t>, create documentation, plan drill conduct and evaluation, and coordinate logistics.</w:t>
      </w:r>
    </w:p>
    <w:p w:rsidR="00C048AC" w:rsidRDefault="00C048AC" w:rsidP="00C048AC">
      <w:pPr>
        <w:pStyle w:val="Heading2"/>
        <w:rPr>
          <w:kern w:val="32"/>
        </w:rPr>
      </w:pPr>
      <w:bookmarkStart w:id="8" w:name="_Toc423618162"/>
      <w:r>
        <w:rPr>
          <w:kern w:val="32"/>
        </w:rPr>
        <w:t>Drill Conduct</w:t>
      </w:r>
      <w:bookmarkEnd w:id="8"/>
      <w:r>
        <w:rPr>
          <w:kern w:val="32"/>
        </w:rPr>
        <w:t xml:space="preserve"> </w:t>
      </w:r>
    </w:p>
    <w:p w:rsidR="00856650" w:rsidRDefault="00C048AC" w:rsidP="008A36CA">
      <w:pPr>
        <w:rPr>
          <w:kern w:val="32"/>
        </w:rPr>
      </w:pPr>
      <w:r>
        <w:rPr>
          <w:kern w:val="32"/>
        </w:rPr>
        <w:t xml:space="preserve">After the design and development activities are complete, the drill can take place. Activities involved with conducting the drill includes setting up for the drill and preparing for drill play, managing drill play, and conducting immediate drill wrap-up activities. </w:t>
      </w:r>
    </w:p>
    <w:p w:rsidR="00C048AC" w:rsidRDefault="00C048AC" w:rsidP="00C048AC">
      <w:pPr>
        <w:pStyle w:val="Heading2"/>
        <w:rPr>
          <w:kern w:val="32"/>
        </w:rPr>
      </w:pPr>
      <w:bookmarkStart w:id="9" w:name="_Toc423618163"/>
      <w:r>
        <w:rPr>
          <w:kern w:val="32"/>
        </w:rPr>
        <w:t>Drill Evaluation</w:t>
      </w:r>
      <w:bookmarkEnd w:id="9"/>
      <w:r>
        <w:rPr>
          <w:kern w:val="32"/>
        </w:rPr>
        <w:t xml:space="preserve"> </w:t>
      </w:r>
    </w:p>
    <w:p w:rsidR="00C048AC" w:rsidRDefault="00C048AC" w:rsidP="008A36CA">
      <w:pPr>
        <w:rPr>
          <w:kern w:val="32"/>
        </w:rPr>
      </w:pPr>
      <w:r>
        <w:rPr>
          <w:kern w:val="32"/>
        </w:rPr>
        <w:t>Evaluation is the cornerstone of any exercise or drill and must be considered throughout all phases of planning, beginning with the establishment of objectives. Effective evaluation assesses performance against drill objectives and identifies and documents strengths for areas of improvement relative to core capabilities. This leads into the subsequent step of improvement planning, which is not included in this toolkit.</w:t>
      </w:r>
    </w:p>
    <w:p w:rsidR="008C1D8F" w:rsidRDefault="008C1D8F" w:rsidP="008A36CA">
      <w:pPr>
        <w:rPr>
          <w:kern w:val="32"/>
        </w:rPr>
      </w:pPr>
    </w:p>
    <w:p w:rsidR="000F3EBA" w:rsidRDefault="000F3EBA" w:rsidP="008E4F18">
      <w:pPr>
        <w:sectPr w:rsidR="000F3EBA" w:rsidSect="00E57E00">
          <w:headerReference w:type="even" r:id="rId15"/>
          <w:footerReference w:type="default" r:id="rId16"/>
          <w:pgSz w:w="12240" w:h="15840" w:code="1"/>
          <w:pgMar w:top="1440" w:right="1440" w:bottom="1440" w:left="1440" w:header="720" w:footer="720" w:gutter="0"/>
          <w:cols w:space="720"/>
          <w:docGrid w:linePitch="360"/>
        </w:sectPr>
      </w:pPr>
      <w:bookmarkStart w:id="10" w:name="_Toc336200399"/>
      <w:bookmarkStart w:id="11" w:name="_Toc336596352"/>
      <w:bookmarkEnd w:id="3"/>
      <w:bookmarkEnd w:id="4"/>
      <w:bookmarkEnd w:id="5"/>
    </w:p>
    <w:p w:rsidR="00AA6F8B" w:rsidRDefault="00CB5272" w:rsidP="00C048AC">
      <w:pPr>
        <w:pStyle w:val="Heading1"/>
        <w:spacing w:before="0"/>
      </w:pPr>
      <w:bookmarkStart w:id="12" w:name="_Toc423618164"/>
      <w:r>
        <w:lastRenderedPageBreak/>
        <w:t>Drill</w:t>
      </w:r>
      <w:r w:rsidR="00E47025">
        <w:t xml:space="preserve"> </w:t>
      </w:r>
      <w:r w:rsidR="00DF4A67">
        <w:t xml:space="preserve">Design and </w:t>
      </w:r>
      <w:r w:rsidR="00E8168A">
        <w:t>Development</w:t>
      </w:r>
      <w:bookmarkEnd w:id="10"/>
      <w:bookmarkEnd w:id="11"/>
      <w:bookmarkEnd w:id="12"/>
    </w:p>
    <w:p w:rsidR="00210537" w:rsidRDefault="004D4ECD" w:rsidP="00204EAB">
      <w:pPr>
        <w:pStyle w:val="Heading2"/>
      </w:pPr>
      <w:bookmarkStart w:id="13" w:name="_Toc423618165"/>
      <w:bookmarkStart w:id="14" w:name="_Toc336596354"/>
      <w:r>
        <w:t>Drill Planning Team</w:t>
      </w:r>
      <w:bookmarkEnd w:id="13"/>
    </w:p>
    <w:p w:rsidR="004D4ECD" w:rsidRDefault="004D4ECD" w:rsidP="00210537">
      <w:r>
        <w:t xml:space="preserve">Once the decision has been made to hold a CRC Drill, representatives from participating agencies </w:t>
      </w:r>
      <w:r w:rsidR="00FC35B9">
        <w:t xml:space="preserve">and organizations </w:t>
      </w:r>
      <w:r>
        <w:t>should begin planning. Planning for a drill typically begins 3 to 6</w:t>
      </w:r>
      <w:r w:rsidR="00E90DAB">
        <w:t> </w:t>
      </w:r>
      <w:r>
        <w:t xml:space="preserve">months in advance, with more or less time depending on the anticipated size and complexity of the event. Participating agencies should hold a Concept and Objectives Meeting to establish the general framework for the drill. Members of the Drill Planning Team should be identified either before or at the Concept and Objectives Meeting. </w:t>
      </w:r>
      <w:r w:rsidR="00850DD5">
        <w:t xml:space="preserve">Ideally, these individuals will not be players in the drill, although they will likely serve as controllers and/or evaluators. </w:t>
      </w:r>
    </w:p>
    <w:p w:rsidR="004D4ECD" w:rsidRDefault="004D4ECD" w:rsidP="00210537"/>
    <w:p w:rsidR="00954941" w:rsidRDefault="00DF4A67" w:rsidP="00210537">
      <w:r>
        <w:t>During drill planning meetings, t</w:t>
      </w:r>
      <w:r w:rsidR="004D4ECD">
        <w:t xml:space="preserve">he Drill Planning Team determines drill objectives and core capabilities to be assessed; creates a realistic scenario to assess them; and develops supporting documentation and tools that are </w:t>
      </w:r>
      <w:r>
        <w:t>u</w:t>
      </w:r>
      <w:r w:rsidR="004D4ECD">
        <w:t>sed in evaluation, control, and simulation. The Drill Planning Team will also help develop and distribute pre-drill materials and conduct drill briefings and training sessions. A Drill Director with authority to make decisions for the sponsoring organization should be identified to provide direction to, and oversight of, the Drill Planning Team.</w:t>
      </w:r>
    </w:p>
    <w:p w:rsidR="00954941" w:rsidRDefault="004460D8" w:rsidP="00954941">
      <w:pPr>
        <w:pStyle w:val="Heading2"/>
      </w:pPr>
      <w:r>
        <w:rPr>
          <w:noProof/>
          <w:lang w:eastAsia="zh-TW"/>
        </w:rPr>
        <w:pict>
          <v:shapetype id="_x0000_t202" coordsize="21600,21600" o:spt="202" path="m,l,21600r21600,l21600,xe">
            <v:stroke joinstyle="miter"/>
            <v:path gradientshapeok="t" o:connecttype="rect"/>
          </v:shapetype>
          <v:shape id="_x0000_s1026" type="#_x0000_t202" style="position:absolute;margin-left:283.75pt;margin-top:14.45pt;width:186.4pt;height:49.35pt;z-index:251660288;mso-width-percent:400;mso-height-percent:200;mso-width-percent:400;mso-height-percent:200;mso-width-relative:margin;mso-height-relative:margin" strokecolor="#00b050">
            <v:textbox style="mso-next-textbox:#_x0000_s1026;mso-fit-shape-to-text:t">
              <w:txbxContent>
                <w:p w:rsidR="003F3478" w:rsidRPr="00EB08EF" w:rsidRDefault="003F3478" w:rsidP="00EB08EF">
                  <w:pPr>
                    <w:jc w:val="center"/>
                    <w:rPr>
                      <w:b/>
                    </w:rPr>
                  </w:pPr>
                  <w:r w:rsidRPr="00EB08EF">
                    <w:rPr>
                      <w:b/>
                    </w:rPr>
                    <w:t>Toolkit Reference: Instructions and Presentations for Planning Meetings</w:t>
                  </w:r>
                </w:p>
              </w:txbxContent>
            </v:textbox>
            <w10:wrap type="square"/>
          </v:shape>
        </w:pict>
      </w:r>
      <w:bookmarkStart w:id="15" w:name="_Toc423618166"/>
      <w:r w:rsidR="00954941">
        <w:t>Drill Planning Meetings</w:t>
      </w:r>
      <w:bookmarkEnd w:id="15"/>
    </w:p>
    <w:p w:rsidR="00EB08EF" w:rsidRDefault="00954941" w:rsidP="00210537">
      <w:r>
        <w:t xml:space="preserve">To facilitate the drill planning meetings, the CRC Drill Toolkit provides presentation templates for the suggested Concept and Operations, Initial, Midterm, and Final Planning Meetings. It also includes instructions that outline the issues </w:t>
      </w:r>
      <w:r w:rsidR="00EB08EF">
        <w:t xml:space="preserve">that should be discussed and decisions made at each meeting. </w:t>
      </w:r>
      <w:r w:rsidR="00DC2CCF">
        <w:t xml:space="preserve">Based on these decisions, the Drill Planning Team will create the drill documentation, discussed further in the next section on drill conduct. </w:t>
      </w:r>
    </w:p>
    <w:p w:rsidR="00EB08EF" w:rsidRDefault="004460D8" w:rsidP="00EB08EF">
      <w:pPr>
        <w:pStyle w:val="Heading2"/>
      </w:pPr>
      <w:r>
        <w:rPr>
          <w:noProof/>
        </w:rPr>
        <w:pict>
          <v:shape id="_x0000_s1027" type="#_x0000_t202" style="position:absolute;margin-left:286.45pt;margin-top:17.4pt;width:186.4pt;height:35.55pt;z-index:251661312;mso-width-percent:400;mso-height-percent:200;mso-width-percent:400;mso-height-percent:200;mso-width-relative:margin;mso-height-relative:margin" strokecolor="#00b050">
            <v:textbox style="mso-next-textbox:#_x0000_s1027;mso-fit-shape-to-text:t">
              <w:txbxContent>
                <w:p w:rsidR="003F3478" w:rsidRPr="00EB08EF" w:rsidRDefault="003F3478" w:rsidP="00AA7866">
                  <w:pPr>
                    <w:jc w:val="center"/>
                    <w:rPr>
                      <w:b/>
                    </w:rPr>
                  </w:pPr>
                  <w:r w:rsidRPr="00EB08EF">
                    <w:rPr>
                      <w:b/>
                    </w:rPr>
                    <w:t xml:space="preserve">Toolkit Reference: </w:t>
                  </w:r>
                  <w:r w:rsidR="00B3384C">
                    <w:rPr>
                      <w:b/>
                    </w:rPr>
                    <w:t xml:space="preserve">Objectives, </w:t>
                  </w:r>
                  <w:r>
                    <w:rPr>
                      <w:b/>
                    </w:rPr>
                    <w:t xml:space="preserve">Capabilities, </w:t>
                  </w:r>
                  <w:r w:rsidR="00B3384C">
                    <w:rPr>
                      <w:b/>
                    </w:rPr>
                    <w:t xml:space="preserve">and </w:t>
                  </w:r>
                  <w:r>
                    <w:rPr>
                      <w:b/>
                    </w:rPr>
                    <w:t>Tasks</w:t>
                  </w:r>
                </w:p>
              </w:txbxContent>
            </v:textbox>
            <w10:wrap type="square"/>
          </v:shape>
        </w:pict>
      </w:r>
      <w:bookmarkStart w:id="16" w:name="_Toc423618167"/>
      <w:r w:rsidR="00EB08EF">
        <w:t>Capabilities</w:t>
      </w:r>
      <w:r w:rsidR="00AA7866">
        <w:t>, Tasks,</w:t>
      </w:r>
      <w:r w:rsidR="00EB08EF">
        <w:t xml:space="preserve"> and Objectives</w:t>
      </w:r>
      <w:bookmarkEnd w:id="16"/>
    </w:p>
    <w:p w:rsidR="004D4ECD" w:rsidRDefault="00EB08EF" w:rsidP="00210537">
      <w:r>
        <w:t xml:space="preserve">The Drill Planning Team will select priorities on which to focus the drill. These priorities drive the development of drill objectives, which are distinct outcomes that an organization wishes to achieve during the drill. Capabilities that need to be shown in order to achieve those objectives, and the tasks that in turn comprise those capabilities, are also determined in order to provide a framework for drill evaluation. The Toolkit’s suggested objectives, capabilities, and tasks for the CRC Drill </w:t>
      </w:r>
      <w:r w:rsidR="00E27F3A">
        <w:t xml:space="preserve">(beginning on page 4 of the document) </w:t>
      </w:r>
      <w:r>
        <w:t xml:space="preserve">anticipate a comprehensive drill </w:t>
      </w:r>
      <w:r w:rsidR="00AA7866">
        <w:t xml:space="preserve">that addresses all of a CRC’s stations. However, drill planners may wish to change these to increase or decrease the focus on certain elements or to add outside activities that work together with the CRC. </w:t>
      </w:r>
      <w:r w:rsidR="009853A2">
        <w:t>Drill planners will also need to adjust the capabilities, tasks, and objectives to address the specifics of the local plans and procedures to be exercised, considering the throughput desired for the CRC, staffing resources, size of population to be processed, available radiation detection instrumentation and other equipment,</w:t>
      </w:r>
      <w:r>
        <w:t xml:space="preserve"> </w:t>
      </w:r>
      <w:r w:rsidR="009853A2">
        <w:t>and other issues.</w:t>
      </w:r>
    </w:p>
    <w:p w:rsidR="00DC2CCF" w:rsidRDefault="00DC2CCF" w:rsidP="00210537"/>
    <w:p w:rsidR="004C0BCE" w:rsidRDefault="004460D8" w:rsidP="00DF4A67">
      <w:pPr>
        <w:pStyle w:val="Heading2"/>
      </w:pPr>
      <w:r>
        <w:rPr>
          <w:noProof/>
        </w:rPr>
        <w:lastRenderedPageBreak/>
        <w:pict>
          <v:shape id="_x0000_s1028" type="#_x0000_t202" style="position:absolute;margin-left:281.6pt;margin-top:10.3pt;width:186.4pt;height:49.35pt;z-index:251663360;mso-width-percent:400;mso-height-percent:200;mso-width-percent:400;mso-height-percent:200;mso-width-relative:margin;mso-height-relative:margin" strokecolor="#00b050">
            <v:textbox style="mso-next-textbox:#_x0000_s1028;mso-fit-shape-to-text:t">
              <w:txbxContent>
                <w:p w:rsidR="003F3478" w:rsidRPr="00EB08EF" w:rsidRDefault="003F3478" w:rsidP="004C0BCE">
                  <w:pPr>
                    <w:jc w:val="center"/>
                    <w:rPr>
                      <w:b/>
                    </w:rPr>
                  </w:pPr>
                  <w:r w:rsidRPr="00EB08EF">
                    <w:rPr>
                      <w:b/>
                    </w:rPr>
                    <w:t>Toolkit Reference</w:t>
                  </w:r>
                  <w:r>
                    <w:rPr>
                      <w:b/>
                    </w:rPr>
                    <w:t>s</w:t>
                  </w:r>
                  <w:r w:rsidRPr="00EB08EF">
                    <w:rPr>
                      <w:b/>
                    </w:rPr>
                    <w:t xml:space="preserve">: </w:t>
                  </w:r>
                  <w:r>
                    <w:rPr>
                      <w:b/>
                    </w:rPr>
                    <w:t>CRC Drill Supply List and Suggested Staffing</w:t>
                  </w:r>
                </w:p>
              </w:txbxContent>
            </v:textbox>
            <w10:wrap type="square"/>
          </v:shape>
        </w:pict>
      </w:r>
      <w:bookmarkStart w:id="17" w:name="_Toc423618168"/>
      <w:r w:rsidR="004C0BCE">
        <w:t>Drill Logistics</w:t>
      </w:r>
      <w:bookmarkEnd w:id="17"/>
    </w:p>
    <w:p w:rsidR="004C0BCE" w:rsidRDefault="004C0BCE" w:rsidP="00DF4A67">
      <w:pPr>
        <w:keepNext/>
      </w:pPr>
      <w:r>
        <w:t xml:space="preserve">The Drill Planning Team will also be responsible for the logistics of the drill. This includes choosing a place to hold the drill (which may be the site intended for the CRC in the event of a real incident), determining how many participants to include in the various roles, and obtaining the needed supplies to carry out the drill. The Toolkit provides guidance on thinking through these choices. </w:t>
      </w:r>
    </w:p>
    <w:p w:rsidR="00EB08EF" w:rsidRDefault="004460D8" w:rsidP="00EB08EF">
      <w:pPr>
        <w:pStyle w:val="Heading2"/>
      </w:pPr>
      <w:r>
        <w:rPr>
          <w:noProof/>
        </w:rPr>
        <w:pict>
          <v:shape id="_x0000_s1029" type="#_x0000_t202" style="position:absolute;margin-left:280.5pt;margin-top:17.9pt;width:186.4pt;height:63.15pt;z-index:251664384;mso-width-percent:400;mso-height-percent:200;mso-width-percent:400;mso-height-percent:200;mso-width-relative:margin;mso-height-relative:margin" strokecolor="#00b050">
            <v:textbox style="mso-next-textbox:#_x0000_s1029;mso-fit-shape-to-text:t">
              <w:txbxContent>
                <w:p w:rsidR="003F3478" w:rsidRPr="00EB08EF" w:rsidRDefault="003F3478" w:rsidP="00E078E7">
                  <w:pPr>
                    <w:jc w:val="center"/>
                    <w:rPr>
                      <w:b/>
                    </w:rPr>
                  </w:pPr>
                  <w:r w:rsidRPr="00EB08EF">
                    <w:rPr>
                      <w:b/>
                    </w:rPr>
                    <w:t>Toolkit Reference</w:t>
                  </w:r>
                  <w:r>
                    <w:rPr>
                      <w:b/>
                    </w:rPr>
                    <w:t>s</w:t>
                  </w:r>
                  <w:r w:rsidRPr="00EB08EF">
                    <w:rPr>
                      <w:b/>
                    </w:rPr>
                    <w:t xml:space="preserve">: </w:t>
                  </w:r>
                  <w:r>
                    <w:rPr>
                      <w:b/>
                    </w:rPr>
                    <w:t xml:space="preserve">Scenario Narrative, MSEL, and </w:t>
                  </w:r>
                  <w:proofErr w:type="spellStart"/>
                  <w:r>
                    <w:rPr>
                      <w:b/>
                    </w:rPr>
                    <w:t>Symptomology</w:t>
                  </w:r>
                  <w:proofErr w:type="spellEnd"/>
                  <w:r>
                    <w:rPr>
                      <w:b/>
                    </w:rPr>
                    <w:t xml:space="preserve"> Cards and Instructions</w:t>
                  </w:r>
                </w:p>
              </w:txbxContent>
            </v:textbox>
            <w10:wrap type="square"/>
          </v:shape>
        </w:pict>
      </w:r>
      <w:bookmarkStart w:id="18" w:name="_Toc423618169"/>
      <w:r w:rsidR="00EB08EF">
        <w:t xml:space="preserve">Scenario </w:t>
      </w:r>
      <w:r w:rsidR="00E078E7">
        <w:t>and Drill Events</w:t>
      </w:r>
      <w:bookmarkEnd w:id="18"/>
    </w:p>
    <w:p w:rsidR="00E078E7" w:rsidRDefault="00E078E7" w:rsidP="00210537">
      <w:r>
        <w:t xml:space="preserve">The Toolkit contains a suggested scenario to set up the framework for </w:t>
      </w:r>
      <w:r w:rsidR="003F3478">
        <w:t xml:space="preserve">establishing </w:t>
      </w:r>
      <w:r>
        <w:t xml:space="preserve">the CRC. </w:t>
      </w:r>
      <w:r w:rsidR="00FC35B9">
        <w:t>Because the broad functions at</w:t>
      </w:r>
      <w:r>
        <w:t xml:space="preserve"> the CRC will generally be </w:t>
      </w:r>
      <w:r w:rsidR="00FC35B9">
        <w:t>similar for all types of</w:t>
      </w:r>
      <w:r>
        <w:t xml:space="preserve"> radiological</w:t>
      </w:r>
      <w:r w:rsidR="00E90DAB">
        <w:t xml:space="preserve"> or </w:t>
      </w:r>
      <w:r w:rsidR="00FC35B9">
        <w:t>nuclear</w:t>
      </w:r>
      <w:r>
        <w:t xml:space="preserve"> incident</w:t>
      </w:r>
      <w:r w:rsidR="00E90DAB">
        <w:t>s</w:t>
      </w:r>
      <w:r w:rsidR="00FC35B9">
        <w:t>, the Toolkit could be adapted for use with a variety of scenarios</w:t>
      </w:r>
      <w:r>
        <w:t xml:space="preserve">. However, the Toolkit suggests </w:t>
      </w:r>
      <w:r w:rsidR="00FC35B9">
        <w:t xml:space="preserve">(and provides) </w:t>
      </w:r>
      <w:r>
        <w:t xml:space="preserve">a scenario </w:t>
      </w:r>
      <w:r w:rsidR="007F5807">
        <w:t>involving</w:t>
      </w:r>
      <w:r>
        <w:t xml:space="preserve"> an Improvised Nuclear Device</w:t>
      </w:r>
      <w:r w:rsidR="00A90A2B">
        <w:t xml:space="preserve"> (see box on next page)</w:t>
      </w:r>
      <w:r>
        <w:t xml:space="preserve"> </w:t>
      </w:r>
      <w:r w:rsidR="00455048">
        <w:t>d</w:t>
      </w:r>
      <w:r>
        <w:t xml:space="preserve">etonating at some distance away from the location of the CRC. This permits the CRC to operate without as much concern for events in the immediate area, while at the same time serving a population that will likely have significant </w:t>
      </w:r>
      <w:r w:rsidR="00FC35B9">
        <w:t xml:space="preserve">radiological, </w:t>
      </w:r>
      <w:r>
        <w:t>psychosocial</w:t>
      </w:r>
      <w:r w:rsidR="00FC35B9">
        <w:t>, informational, and other</w:t>
      </w:r>
      <w:r>
        <w:t xml:space="preserve"> needs. The Drill Planning Team </w:t>
      </w:r>
      <w:r w:rsidR="00FC35B9">
        <w:t>can modify</w:t>
      </w:r>
      <w:r>
        <w:t xml:space="preserve"> the scenario as needed to fit its goals for the drill.</w:t>
      </w:r>
    </w:p>
    <w:p w:rsidR="00E078E7" w:rsidRDefault="00E078E7" w:rsidP="00210537"/>
    <w:p w:rsidR="009B4B26" w:rsidRDefault="00E078E7" w:rsidP="00210537">
      <w:r>
        <w:t xml:space="preserve">The Master Scenario Events List (MSEL) </w:t>
      </w:r>
      <w:r w:rsidR="0017062F">
        <w:t xml:space="preserve">for an exercise lists the sequence of events that take place as part of the scenario and the expected results. Activities at a CRC are mainly driven by the needs of the population arriving at the CRC for monitoring. Therefore, the MSEL included in the CRC Toolkit is brief and includes a suggested schedule for pre-drill activities as well as a few events that kick off play. </w:t>
      </w:r>
    </w:p>
    <w:p w:rsidR="009B4B26" w:rsidRDefault="009B4B26" w:rsidP="00210537"/>
    <w:p w:rsidR="009B4B26" w:rsidRDefault="0017062F" w:rsidP="00210537">
      <w:r>
        <w:t xml:space="preserve">To drive </w:t>
      </w:r>
      <w:r w:rsidR="009B4B26">
        <w:t xml:space="preserve">actual </w:t>
      </w:r>
      <w:r>
        <w:t xml:space="preserve">drill play, the Drill Planning Team will need to develop </w:t>
      </w:r>
      <w:r w:rsidR="001F0045">
        <w:t>other events, or “</w:t>
      </w:r>
      <w:r>
        <w:t>injects,</w:t>
      </w:r>
      <w:r w:rsidR="001F0045">
        <w:t>”</w:t>
      </w:r>
      <w:r>
        <w:t xml:space="preserve"> including cases and situations that participating actors will portray to players. </w:t>
      </w:r>
      <w:r w:rsidR="009B4B26">
        <w:t xml:space="preserve">Information for this purpose is contained in the </w:t>
      </w:r>
      <w:proofErr w:type="spellStart"/>
      <w:r w:rsidR="00CA67D3">
        <w:t>Symptomology</w:t>
      </w:r>
      <w:proofErr w:type="spellEnd"/>
      <w:r w:rsidR="00CA67D3">
        <w:t xml:space="preserve"> Cards</w:t>
      </w:r>
      <w:r w:rsidR="007F5807">
        <w:t xml:space="preserve">. There are two types of </w:t>
      </w:r>
      <w:proofErr w:type="spellStart"/>
      <w:r w:rsidR="007F5807">
        <w:t>Symptomology</w:t>
      </w:r>
      <w:proofErr w:type="spellEnd"/>
      <w:r w:rsidR="007F5807">
        <w:t xml:space="preserve"> Cards</w:t>
      </w:r>
      <w:r w:rsidR="00CA67D3">
        <w:t xml:space="preserve">: </w:t>
      </w:r>
      <w:r w:rsidR="009B4B26">
        <w:t>Actor Cards</w:t>
      </w:r>
      <w:r w:rsidR="007F5807">
        <w:t>, which</w:t>
      </w:r>
      <w:r w:rsidR="00CA67D3">
        <w:t xml:space="preserve"> contain the </w:t>
      </w:r>
      <w:r w:rsidR="00D60C10">
        <w:t>demographic</w:t>
      </w:r>
      <w:r w:rsidR="009B4B26">
        <w:t>,</w:t>
      </w:r>
      <w:r w:rsidR="00D60C10">
        <w:t xml:space="preserve"> situational</w:t>
      </w:r>
      <w:r w:rsidR="009B4B26">
        <w:t>, and behavioral</w:t>
      </w:r>
      <w:r w:rsidR="00D60C10">
        <w:t xml:space="preserve"> characteristics </w:t>
      </w:r>
      <w:r w:rsidR="00CA67D3">
        <w:t>that each Actor shou</w:t>
      </w:r>
      <w:r w:rsidR="007F5807">
        <w:t>ld portray;</w:t>
      </w:r>
      <w:r w:rsidR="00CA67D3">
        <w:t xml:space="preserve"> and Contamination Cards</w:t>
      </w:r>
      <w:r w:rsidR="007F5807">
        <w:t>, which</w:t>
      </w:r>
      <w:r w:rsidR="00CA67D3">
        <w:t xml:space="preserve"> provide each individual’s radiological characteristics</w:t>
      </w:r>
      <w:r w:rsidR="00D60C10">
        <w:t xml:space="preserve">. </w:t>
      </w:r>
      <w:r w:rsidR="009B4B26">
        <w:t xml:space="preserve">Individuals going through the CRC have one of each card type, with the combination of the two cards indicating a person’s contamination status and his or her demographic characteristics and behaviors. </w:t>
      </w:r>
    </w:p>
    <w:p w:rsidR="009B4B26" w:rsidRDefault="009B4B26" w:rsidP="00210537"/>
    <w:p w:rsidR="007276C0" w:rsidRDefault="003F3478" w:rsidP="00210537">
      <w:r>
        <w:t xml:space="preserve">The Toolkit includes a set of Actor Cards and Contamination Cards that have already been populated with the information on the second and third sheets of the MSEL. </w:t>
      </w:r>
      <w:r w:rsidR="000D7FD7">
        <w:t>Drill planners should reference the</w:t>
      </w:r>
      <w:r w:rsidR="008A1C0B">
        <w:t xml:space="preserve"> </w:t>
      </w:r>
      <w:r w:rsidR="009B4B26">
        <w:t xml:space="preserve">detailed </w:t>
      </w:r>
      <w:r w:rsidR="008A1C0B">
        <w:t>instructions</w:t>
      </w:r>
      <w:r w:rsidR="009B4B26">
        <w:t xml:space="preserve"> for the use of </w:t>
      </w:r>
      <w:r w:rsidR="008A1C0B">
        <w:t xml:space="preserve">the </w:t>
      </w:r>
      <w:proofErr w:type="spellStart"/>
      <w:r w:rsidR="008A1C0B">
        <w:t>Symptomology</w:t>
      </w:r>
      <w:proofErr w:type="spellEnd"/>
      <w:r w:rsidR="008A1C0B">
        <w:t xml:space="preserve"> </w:t>
      </w:r>
      <w:r w:rsidR="00EC7409">
        <w:t xml:space="preserve">Cards </w:t>
      </w:r>
      <w:r w:rsidR="008A1C0B">
        <w:t xml:space="preserve">when determining which cases to choose for inclusion in the drill. Drill planners may also wish to add other </w:t>
      </w:r>
      <w:r w:rsidR="001F0045">
        <w:t>events</w:t>
      </w:r>
      <w:r w:rsidR="008A1C0B">
        <w:t xml:space="preserve"> to trigger CRC staff players to take other actions not covered by the listed cases. This will be especially needed if additional objectives, capabilities, or task</w:t>
      </w:r>
      <w:r w:rsidR="00FC605E">
        <w:t xml:space="preserve">s are selected. </w:t>
      </w:r>
      <w:r>
        <w:t xml:space="preserve">Planners may use the blank Actor and Contamination Cards included in the Toolkit </w:t>
      </w:r>
      <w:r w:rsidR="007276C0">
        <w:t xml:space="preserve">(provided in Microsoft Word and PDF formats) </w:t>
      </w:r>
      <w:r>
        <w:t xml:space="preserve">to </w:t>
      </w:r>
      <w:r w:rsidR="001F0045">
        <w:t xml:space="preserve">create other </w:t>
      </w:r>
      <w:r w:rsidR="007276C0">
        <w:t xml:space="preserve">situations for actors to model. </w:t>
      </w:r>
    </w:p>
    <w:p w:rsidR="007276C0" w:rsidRDefault="007276C0" w:rsidP="00210537"/>
    <w:p w:rsidR="00C048AC" w:rsidRPr="00210537" w:rsidRDefault="004460D8" w:rsidP="00210537">
      <w:r>
        <w:rPr>
          <w:noProof/>
        </w:rPr>
        <w:lastRenderedPageBreak/>
        <w:pict>
          <v:shape id="_x0000_s1037" type="#_x0000_t202" style="position:absolute;margin-left:21pt;margin-top:85.5pt;width:400.5pt;height:160.6pt;z-index:251670528;mso-height-percent:200;mso-height-percent:200;mso-width-relative:margin;mso-height-relative:margin" strokecolor="#00b050">
            <v:textbox style="mso-next-textbox:#_x0000_s1037;mso-fit-shape-to-text:t">
              <w:txbxContent>
                <w:p w:rsidR="00455048" w:rsidRDefault="00455048" w:rsidP="00A90A2B">
                  <w:pPr>
                    <w:spacing w:after="120"/>
                    <w:jc w:val="center"/>
                    <w:rPr>
                      <w:b/>
                    </w:rPr>
                  </w:pPr>
                  <w:r>
                    <w:rPr>
                      <w:b/>
                    </w:rPr>
                    <w:t xml:space="preserve">What is an Improvised Nuclear Device (IND)? </w:t>
                  </w:r>
                </w:p>
                <w:p w:rsidR="00455048" w:rsidRDefault="00455048" w:rsidP="00A90A2B">
                  <w:r>
                    <w:t xml:space="preserve">Fissile or fissionable material engineered in such a way that when detonated, it releases significant amounts of energy, creating a shock wave, intense heat and light, and a cloud of radioactive material, also known as fallout. INDs are improvised in the sense that the nuclear material is stolen and then assembled in a makeshift fashion. The damage and deaths associated with an IND will vary according to the technical skills of the perpetrators, its detonation location, the level of shielding in an urban environment, and building construction materials. Most damage and deaths are likely to be centered nearest the detonation point, and injuries (e.g., burns, blindness, </w:t>
                  </w:r>
                  <w:proofErr w:type="gramStart"/>
                  <w:r>
                    <w:t>lacerations</w:t>
                  </w:r>
                  <w:proofErr w:type="gramEnd"/>
                  <w:r>
                    <w:t>) will occur among people farther away. The smallest INDs are on the order of 1</w:t>
                  </w:r>
                  <w:r w:rsidR="00A90A2B">
                    <w:rPr>
                      <w:rFonts w:ascii="Calibri" w:hAnsi="Calibri"/>
                    </w:rPr>
                    <w:t>–</w:t>
                  </w:r>
                  <w:r>
                    <w:t xml:space="preserve">10 kilotons of equivalent conventional explosives.  </w:t>
                  </w:r>
                </w:p>
                <w:p w:rsidR="00A90A2B" w:rsidRPr="00A90A2B" w:rsidRDefault="00A90A2B" w:rsidP="00A90A2B">
                  <w:pPr>
                    <w:spacing w:before="120"/>
                    <w:rPr>
                      <w:i/>
                      <w:sz w:val="20"/>
                      <w:szCs w:val="20"/>
                    </w:rPr>
                  </w:pPr>
                  <w:r w:rsidRPr="00A90A2B">
                    <w:rPr>
                      <w:i/>
                      <w:sz w:val="20"/>
                      <w:szCs w:val="20"/>
                    </w:rPr>
                    <w:t>Source: Population Monitoring in Radiation Emergencies: A Guide for State and Local Public Health Planners, Second Edition, April 2014</w:t>
                  </w:r>
                </w:p>
              </w:txbxContent>
            </v:textbox>
            <w10:wrap type="square"/>
          </v:shape>
        </w:pict>
      </w:r>
      <w:r w:rsidR="001F0045">
        <w:t xml:space="preserve">Planners may also choose to create injects for drill controllers or simulators to drive play. </w:t>
      </w:r>
      <w:r w:rsidR="00FC605E">
        <w:t>For example, injects may be developed to simula</w:t>
      </w:r>
      <w:r w:rsidR="00CA7A76">
        <w:t>te interaction with local officials, the media, or other responding organizations, or to more deeply exercise certain CRC stations, such as dose assessment or first aid.</w:t>
      </w:r>
      <w:r w:rsidR="00CA67D3">
        <w:t xml:space="preserve"> These should be added to the MSEL.</w:t>
      </w:r>
      <w:r w:rsidR="00CA7A76">
        <w:t xml:space="preserve"> </w:t>
      </w:r>
      <w:r w:rsidR="000D7FD7">
        <w:t xml:space="preserve">  </w:t>
      </w:r>
      <w:r w:rsidR="0017062F">
        <w:t xml:space="preserve"> </w:t>
      </w:r>
      <w:r w:rsidR="00CF482C">
        <w:t xml:space="preserve"> </w:t>
      </w:r>
    </w:p>
    <w:p w:rsidR="00BD0631" w:rsidRDefault="00BD0631" w:rsidP="003369C3">
      <w:pPr>
        <w:pStyle w:val="HSEEPFigureTitle"/>
        <w:sectPr w:rsidR="00BD0631" w:rsidSect="00E57E00">
          <w:footerReference w:type="default" r:id="rId17"/>
          <w:pgSz w:w="12240" w:h="15840" w:code="1"/>
          <w:pgMar w:top="1440" w:right="1440" w:bottom="1440" w:left="1440" w:header="720" w:footer="720" w:gutter="0"/>
          <w:cols w:space="720"/>
          <w:docGrid w:linePitch="360"/>
        </w:sectPr>
      </w:pPr>
      <w:bookmarkStart w:id="19" w:name="_Toc336200405"/>
      <w:bookmarkStart w:id="20" w:name="_Toc336596356"/>
      <w:bookmarkEnd w:id="14"/>
    </w:p>
    <w:p w:rsidR="002B2631" w:rsidRDefault="00EC7409" w:rsidP="00EC7409">
      <w:pPr>
        <w:pStyle w:val="Heading1"/>
        <w:spacing w:before="0"/>
      </w:pPr>
      <w:bookmarkStart w:id="21" w:name="_Toc336596360"/>
      <w:bookmarkStart w:id="22" w:name="_Toc423618170"/>
      <w:bookmarkEnd w:id="19"/>
      <w:bookmarkEnd w:id="20"/>
      <w:r>
        <w:lastRenderedPageBreak/>
        <w:t xml:space="preserve">Drill </w:t>
      </w:r>
      <w:r w:rsidR="00E8168A">
        <w:t>Conduct</w:t>
      </w:r>
      <w:bookmarkEnd w:id="21"/>
      <w:bookmarkEnd w:id="22"/>
    </w:p>
    <w:p w:rsidR="00386913" w:rsidRDefault="00F95605" w:rsidP="00386913">
      <w:pPr>
        <w:pStyle w:val="BodyText"/>
      </w:pPr>
      <w:bookmarkStart w:id="23" w:name="_Toc336596361"/>
      <w:r>
        <w:t>Drill</w:t>
      </w:r>
      <w:r w:rsidRPr="00F95605">
        <w:t xml:space="preserve"> conduct involves activities such as preparing for </w:t>
      </w:r>
      <w:r w:rsidR="00DB12E4">
        <w:t xml:space="preserve">and managing </w:t>
      </w:r>
      <w:r>
        <w:t>drill</w:t>
      </w:r>
      <w:r w:rsidRPr="00F95605">
        <w:t xml:space="preserve"> play. </w:t>
      </w:r>
      <w:r w:rsidR="00386913">
        <w:t xml:space="preserve">The Drill Toolkit also contains materials to facilitate drill play. The Drill Planning Team can use the templates in the Toolkit as a starting point and finalize them based on the decisions made during the drill planning meetings. </w:t>
      </w:r>
    </w:p>
    <w:p w:rsidR="00CF65A7" w:rsidRDefault="004460D8" w:rsidP="00CF65A7">
      <w:pPr>
        <w:pStyle w:val="Heading2"/>
      </w:pPr>
      <w:r>
        <w:rPr>
          <w:noProof/>
        </w:rPr>
        <w:pict>
          <v:shape id="_x0000_s1031" type="#_x0000_t202" style="position:absolute;margin-left:260.3pt;margin-top:9.3pt;width:205.9pt;height:104.55pt;z-index:251665408;mso-height-percent:200;mso-height-percent:200;mso-width-relative:margin;mso-height-relative:margin" strokecolor="#00b050">
            <v:textbox style="mso-next-textbox:#_x0000_s1031;mso-fit-shape-to-text:t">
              <w:txbxContent>
                <w:p w:rsidR="002A5556" w:rsidRPr="00EB08EF" w:rsidRDefault="002A5556" w:rsidP="002A5556">
                  <w:pPr>
                    <w:jc w:val="center"/>
                    <w:rPr>
                      <w:b/>
                    </w:rPr>
                  </w:pPr>
                  <w:r w:rsidRPr="00EB08EF">
                    <w:rPr>
                      <w:b/>
                    </w:rPr>
                    <w:t>Toolkit Reference</w:t>
                  </w:r>
                  <w:r>
                    <w:rPr>
                      <w:b/>
                    </w:rPr>
                    <w:t>s</w:t>
                  </w:r>
                  <w:r w:rsidRPr="00EB08EF">
                    <w:rPr>
                      <w:b/>
                    </w:rPr>
                    <w:t xml:space="preserve">: </w:t>
                  </w:r>
                  <w:r>
                    <w:rPr>
                      <w:b/>
                    </w:rPr>
                    <w:t xml:space="preserve">Templates for </w:t>
                  </w:r>
                  <w:r w:rsidRPr="002A5556">
                    <w:rPr>
                      <w:b/>
                    </w:rPr>
                    <w:t>Actor, Controller/Evaluator, and Player Pre-Drill Briefings; the Participant Onsite Final Briefing; the Observer/Media Briefing; and the Controller/Evaluator Debriefing</w:t>
                  </w:r>
                </w:p>
              </w:txbxContent>
            </v:textbox>
            <w10:wrap type="square"/>
          </v:shape>
        </w:pict>
      </w:r>
      <w:bookmarkStart w:id="24" w:name="_Toc423618171"/>
      <w:r w:rsidR="00386913">
        <w:t>Participant Briefing Presentations</w:t>
      </w:r>
      <w:bookmarkEnd w:id="23"/>
      <w:bookmarkEnd w:id="24"/>
    </w:p>
    <w:p w:rsidR="00CF65A7" w:rsidRDefault="00F95605" w:rsidP="00CF65A7">
      <w:pPr>
        <w:pStyle w:val="BodyText"/>
      </w:pPr>
      <w:r>
        <w:t>Briefings are h</w:t>
      </w:r>
      <w:r w:rsidRPr="00F95605">
        <w:t xml:space="preserve">eld before </w:t>
      </w:r>
      <w:r>
        <w:t>the drill to</w:t>
      </w:r>
      <w:r w:rsidRPr="00F95605">
        <w:t xml:space="preserve"> </w:t>
      </w:r>
      <w:r w:rsidR="007F5807">
        <w:t>inform</w:t>
      </w:r>
      <w:r w:rsidRPr="00F95605">
        <w:t xml:space="preserve"> participants about their roles and responsibilities. </w:t>
      </w:r>
      <w:r>
        <w:t>The Toolkit includes templates for p</w:t>
      </w:r>
      <w:r w:rsidR="001F7569" w:rsidRPr="001F7569">
        <w:t xml:space="preserve">resentations for the Actor, Controller/Evaluator, and Player Pre-Drill Briefings; the Participant Onsite Final Briefing; </w:t>
      </w:r>
      <w:r w:rsidR="00FF3F60" w:rsidRPr="001F7569">
        <w:t xml:space="preserve">the Observer/Media Briefing; </w:t>
      </w:r>
      <w:r w:rsidR="001F7569" w:rsidRPr="001F7569">
        <w:t>and the Controller/Evaluator Debriefing</w:t>
      </w:r>
      <w:r>
        <w:t>. Pre-drill briefings are intended to take place in the days before the drill. They are specific to particular roles</w:t>
      </w:r>
      <w:r w:rsidR="00FF3F60">
        <w:t xml:space="preserve"> and may also </w:t>
      </w:r>
      <w:r>
        <w:t xml:space="preserve">include training. The Participant Onsite Briefing is intended for all drill participants just before the drill begins to remind participants of </w:t>
      </w:r>
      <w:r w:rsidR="00FF3F60">
        <w:t xml:space="preserve">general guidelines and logistical issues. The Toolkit contains a template for a separate Observer/Media Briefing, also to take place on the day of the drill, to provide non-participants with a general overview of what they will see. </w:t>
      </w:r>
      <w:r w:rsidR="00E570C2">
        <w:t>Although it is included in this group of briefing templates</w:t>
      </w:r>
      <w:r w:rsidR="00FF3F60">
        <w:t xml:space="preserve">, the Controller/Evaluator Debriefing is intended to take place shortly after the </w:t>
      </w:r>
      <w:r w:rsidR="00E570C2">
        <w:t>Hot Wash, described later in this section,</w:t>
      </w:r>
      <w:r w:rsidR="00FF3F60">
        <w:t xml:space="preserve"> to </w:t>
      </w:r>
      <w:r w:rsidR="00762875" w:rsidRPr="00762875">
        <w:t xml:space="preserve">provide a forum for functional area controllers and evaluators to </w:t>
      </w:r>
      <w:r w:rsidR="00CF1B3D">
        <w:t>share</w:t>
      </w:r>
      <w:r w:rsidR="00762875">
        <w:t xml:space="preserve"> their thoughts on the drill</w:t>
      </w:r>
      <w:r w:rsidR="00762875" w:rsidRPr="00762875">
        <w:t>.</w:t>
      </w:r>
      <w:r w:rsidR="00C537AF">
        <w:t xml:space="preserve"> </w:t>
      </w:r>
      <w:r w:rsidR="0028671D">
        <w:t xml:space="preserve">The </w:t>
      </w:r>
      <w:r w:rsidR="00C537AF">
        <w:t xml:space="preserve">Drill Planning Team should modify these templates as needed based on decisions made during drill planning meetings. </w:t>
      </w:r>
      <w:r w:rsidR="00FF3F60">
        <w:t xml:space="preserve"> </w:t>
      </w:r>
      <w:r>
        <w:t xml:space="preserve"> </w:t>
      </w:r>
      <w:r w:rsidR="001F7569" w:rsidRPr="001F7569">
        <w:t xml:space="preserve"> </w:t>
      </w:r>
    </w:p>
    <w:p w:rsidR="00D97644" w:rsidRDefault="004460D8" w:rsidP="00D97644">
      <w:pPr>
        <w:pStyle w:val="Heading2"/>
      </w:pPr>
      <w:bookmarkStart w:id="25" w:name="_Toc336202985"/>
      <w:bookmarkStart w:id="26" w:name="_Toc336596363"/>
      <w:r>
        <w:rPr>
          <w:noProof/>
        </w:rPr>
        <w:pict>
          <v:shape id="_x0000_s1032" type="#_x0000_t202" style="position:absolute;margin-left:262.95pt;margin-top:4.05pt;width:205.9pt;height:90.75pt;z-index:251666432;mso-height-percent:200;mso-height-percent:200;mso-width-relative:margin;mso-height-relative:margin" strokecolor="#00b050">
            <v:textbox style="mso-next-textbox:#_x0000_s1032;mso-fit-shape-to-text:t">
              <w:txbxContent>
                <w:p w:rsidR="00D97644" w:rsidRPr="00EB08EF" w:rsidRDefault="00D97644" w:rsidP="00D97644">
                  <w:pPr>
                    <w:jc w:val="center"/>
                    <w:rPr>
                      <w:b/>
                    </w:rPr>
                  </w:pPr>
                  <w:r w:rsidRPr="00EB08EF">
                    <w:rPr>
                      <w:b/>
                    </w:rPr>
                    <w:t>Toolkit Reference</w:t>
                  </w:r>
                  <w:r>
                    <w:rPr>
                      <w:b/>
                    </w:rPr>
                    <w:t>s</w:t>
                  </w:r>
                  <w:r w:rsidRPr="00EB08EF">
                    <w:rPr>
                      <w:b/>
                    </w:rPr>
                    <w:t xml:space="preserve">: </w:t>
                  </w:r>
                  <w:r w:rsidRPr="00D97644">
                    <w:rPr>
                      <w:b/>
                    </w:rPr>
                    <w:t>Templates for the Exercise Plan (</w:t>
                  </w:r>
                  <w:proofErr w:type="spellStart"/>
                  <w:r w:rsidRPr="00D97644">
                    <w:rPr>
                      <w:b/>
                    </w:rPr>
                    <w:t>ExPlan</w:t>
                  </w:r>
                  <w:proofErr w:type="spellEnd"/>
                  <w:r w:rsidRPr="00D97644">
                    <w:rPr>
                      <w:b/>
                    </w:rPr>
                    <w:t>), Player Handbook, Actor Instructions, and Controller/Evaluator Handbook</w:t>
                  </w:r>
                </w:p>
              </w:txbxContent>
            </v:textbox>
            <w10:wrap type="square"/>
          </v:shape>
        </w:pict>
      </w:r>
      <w:bookmarkStart w:id="27" w:name="_Toc423618172"/>
      <w:r w:rsidR="00D97644">
        <w:t>Participant Handbooks</w:t>
      </w:r>
      <w:bookmarkEnd w:id="25"/>
      <w:bookmarkEnd w:id="26"/>
      <w:bookmarkEnd w:id="27"/>
    </w:p>
    <w:p w:rsidR="00D97644" w:rsidRDefault="0028671D" w:rsidP="001C6978">
      <w:pPr>
        <w:pStyle w:val="BodyText"/>
        <w:spacing w:after="240"/>
      </w:pPr>
      <w:r>
        <w:t xml:space="preserve">In addition to the instructions given orally during the participant briefings, drill participants should receive handbooks </w:t>
      </w:r>
      <w:r w:rsidR="001C6978">
        <w:t xml:space="preserve">(ideally before the day of the drill) </w:t>
      </w:r>
      <w:r>
        <w:t>to provide written</w:t>
      </w:r>
      <w:r w:rsidRPr="001F7569">
        <w:t xml:space="preserve"> </w:t>
      </w:r>
      <w:r>
        <w:t>information on their roles, drill rules, and other topics targeted to their roles. The Toolkit includes t</w:t>
      </w:r>
      <w:r w:rsidR="00D97644" w:rsidRPr="001F7569">
        <w:t>emplates for the Exercise Plan (</w:t>
      </w:r>
      <w:proofErr w:type="spellStart"/>
      <w:r w:rsidR="00D97644" w:rsidRPr="001F7569">
        <w:t>ExPlan</w:t>
      </w:r>
      <w:proofErr w:type="spellEnd"/>
      <w:r w:rsidR="00D97644" w:rsidRPr="001F7569">
        <w:t>), Player Handbook, Actor Instructions, and Controller/Evaluator Handbook</w:t>
      </w:r>
      <w:r>
        <w:t xml:space="preserve">. </w:t>
      </w:r>
      <w:r w:rsidR="00596EB0">
        <w:t xml:space="preserve">The table below summarizes the content of each document. </w:t>
      </w:r>
      <w:r>
        <w:t>The Drill Planning Team should adapt these templates as needed based on decisions made during drill planning meetings.</w:t>
      </w:r>
      <w:r w:rsidR="00D97644">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6403"/>
      </w:tblGrid>
      <w:tr w:rsidR="00D97644" w:rsidRPr="00037264" w:rsidTr="00384D89">
        <w:trPr>
          <w:cantSplit/>
          <w:tblHeader/>
          <w:jc w:val="center"/>
        </w:trPr>
        <w:tc>
          <w:tcPr>
            <w:tcW w:w="2984" w:type="dxa"/>
            <w:tcBorders>
              <w:right w:val="single" w:sz="4" w:space="0" w:color="FFFFFF"/>
            </w:tcBorders>
            <w:shd w:val="clear" w:color="auto" w:fill="000080"/>
          </w:tcPr>
          <w:p w:rsidR="00EC7409" w:rsidRPr="00037264" w:rsidRDefault="00EC7409" w:rsidP="0028671D">
            <w:pPr>
              <w:pStyle w:val="TableHead"/>
            </w:pPr>
            <w:r>
              <w:t xml:space="preserve">Drill </w:t>
            </w:r>
            <w:r w:rsidR="0028671D">
              <w:t>Document</w:t>
            </w:r>
          </w:p>
        </w:tc>
        <w:tc>
          <w:tcPr>
            <w:tcW w:w="6403" w:type="dxa"/>
            <w:tcBorders>
              <w:left w:val="single" w:sz="4" w:space="0" w:color="FFFFFF"/>
            </w:tcBorders>
            <w:shd w:val="clear" w:color="auto" w:fill="000080"/>
          </w:tcPr>
          <w:p w:rsidR="00EC7409" w:rsidRPr="00037264" w:rsidRDefault="0028671D" w:rsidP="0028671D">
            <w:pPr>
              <w:pStyle w:val="TableHead"/>
            </w:pPr>
            <w:r>
              <w:t>Description</w:t>
            </w:r>
          </w:p>
        </w:tc>
      </w:tr>
      <w:tr w:rsidR="00D97644" w:rsidRPr="00037264" w:rsidTr="00384D89">
        <w:trPr>
          <w:cantSplit/>
          <w:jc w:val="center"/>
        </w:trPr>
        <w:tc>
          <w:tcPr>
            <w:tcW w:w="2984" w:type="dxa"/>
            <w:shd w:val="clear" w:color="auto" w:fill="auto"/>
          </w:tcPr>
          <w:p w:rsidR="00EC7409" w:rsidRPr="0028671D" w:rsidRDefault="0028671D" w:rsidP="003F3478">
            <w:pPr>
              <w:pStyle w:val="Tabletext"/>
            </w:pPr>
            <w:r w:rsidRPr="0028671D">
              <w:t>Exer</w:t>
            </w:r>
            <w:r>
              <w:t>cise Plan (</w:t>
            </w:r>
            <w:proofErr w:type="spellStart"/>
            <w:r>
              <w:t>ExPlan</w:t>
            </w:r>
            <w:proofErr w:type="spellEnd"/>
            <w:r>
              <w:t>)</w:t>
            </w:r>
          </w:p>
        </w:tc>
        <w:tc>
          <w:tcPr>
            <w:tcW w:w="6403" w:type="dxa"/>
          </w:tcPr>
          <w:p w:rsidR="00EC7409" w:rsidRPr="00384D89" w:rsidRDefault="00384D89" w:rsidP="00384D89">
            <w:pPr>
              <w:pStyle w:val="Tabletext"/>
            </w:pPr>
            <w:r w:rsidRPr="00384D89">
              <w:t>Intended for all participants</w:t>
            </w:r>
            <w:r>
              <w:t>. General information on drill objectives, participant roles and responsibilities, drill assumptions and artificialities, drill logistics and schedule, post-drill and evaluation activities, and other participant information and guidance</w:t>
            </w:r>
            <w:r w:rsidRPr="00384D89">
              <w:t xml:space="preserve"> </w:t>
            </w:r>
          </w:p>
        </w:tc>
      </w:tr>
      <w:tr w:rsidR="00D97644" w:rsidRPr="00037264" w:rsidTr="00384D89">
        <w:trPr>
          <w:cantSplit/>
          <w:jc w:val="center"/>
        </w:trPr>
        <w:tc>
          <w:tcPr>
            <w:tcW w:w="2984" w:type="dxa"/>
          </w:tcPr>
          <w:p w:rsidR="00EC7409" w:rsidRPr="0028671D" w:rsidRDefault="0028671D" w:rsidP="003F3478">
            <w:pPr>
              <w:pStyle w:val="Tabletext"/>
            </w:pPr>
            <w:r>
              <w:t>Player Handbook</w:t>
            </w:r>
          </w:p>
        </w:tc>
        <w:tc>
          <w:tcPr>
            <w:tcW w:w="6403" w:type="dxa"/>
          </w:tcPr>
          <w:p w:rsidR="00EC7409" w:rsidRPr="00384D89" w:rsidRDefault="00384D89" w:rsidP="003F3478">
            <w:pPr>
              <w:pStyle w:val="Tabletext"/>
            </w:pPr>
            <w:r>
              <w:t>Provides additional details for players on how the drill will be conducted and evaluated</w:t>
            </w:r>
          </w:p>
        </w:tc>
      </w:tr>
      <w:tr w:rsidR="00D97644" w:rsidRPr="00037264" w:rsidTr="00384D89">
        <w:trPr>
          <w:cantSplit/>
          <w:jc w:val="center"/>
        </w:trPr>
        <w:tc>
          <w:tcPr>
            <w:tcW w:w="2984" w:type="dxa"/>
          </w:tcPr>
          <w:p w:rsidR="00EC7409" w:rsidRPr="0028671D" w:rsidRDefault="0028671D" w:rsidP="003F3478">
            <w:pPr>
              <w:pStyle w:val="Tabletext"/>
            </w:pPr>
            <w:r>
              <w:lastRenderedPageBreak/>
              <w:t>Actor Instructions</w:t>
            </w:r>
          </w:p>
        </w:tc>
        <w:tc>
          <w:tcPr>
            <w:tcW w:w="6403" w:type="dxa"/>
          </w:tcPr>
          <w:p w:rsidR="00EC7409" w:rsidRPr="00384D89" w:rsidRDefault="00384D89" w:rsidP="003F3478">
            <w:pPr>
              <w:pStyle w:val="Tabletext"/>
            </w:pPr>
            <w:r>
              <w:t xml:space="preserve">While actors can review the </w:t>
            </w:r>
            <w:proofErr w:type="spellStart"/>
            <w:r>
              <w:t>ExPlan</w:t>
            </w:r>
            <w:proofErr w:type="spellEnd"/>
            <w:r>
              <w:t xml:space="preserve">, the Actor Instructions are intended to be a stand-alone guide to what volunteer actors can expect during the drill and how they should play their roles, including a detailed discussion of the </w:t>
            </w:r>
            <w:proofErr w:type="spellStart"/>
            <w:r>
              <w:t>Symptomology</w:t>
            </w:r>
            <w:proofErr w:type="spellEnd"/>
            <w:r>
              <w:t xml:space="preserve"> Cards</w:t>
            </w:r>
            <w:r w:rsidR="00A142FA">
              <w:t>; also includes a 1-page summary handout</w:t>
            </w:r>
          </w:p>
        </w:tc>
      </w:tr>
      <w:tr w:rsidR="00D97644" w:rsidRPr="00037264" w:rsidTr="00384D89">
        <w:trPr>
          <w:cantSplit/>
          <w:jc w:val="center"/>
        </w:trPr>
        <w:tc>
          <w:tcPr>
            <w:tcW w:w="2984" w:type="dxa"/>
          </w:tcPr>
          <w:p w:rsidR="00EC7409" w:rsidRPr="0028671D" w:rsidRDefault="0028671D" w:rsidP="003F3478">
            <w:pPr>
              <w:pStyle w:val="Tabletext"/>
            </w:pPr>
            <w:r>
              <w:t>Controller/Evaluator Handbook</w:t>
            </w:r>
          </w:p>
        </w:tc>
        <w:tc>
          <w:tcPr>
            <w:tcW w:w="6403" w:type="dxa"/>
          </w:tcPr>
          <w:p w:rsidR="00EC7409" w:rsidRPr="00384D89" w:rsidRDefault="00A142FA" w:rsidP="00A142FA">
            <w:pPr>
              <w:pStyle w:val="Tabletext"/>
            </w:pPr>
            <w:r>
              <w:t xml:space="preserve">For use only by </w:t>
            </w:r>
            <w:r w:rsidR="003E2938">
              <w:t>controllers/eva</w:t>
            </w:r>
            <w:r>
              <w:t xml:space="preserve">luators. Includes more detail on the drill, including the scenario, MSEL, and </w:t>
            </w:r>
            <w:proofErr w:type="spellStart"/>
            <w:r>
              <w:t>Symptomology</w:t>
            </w:r>
            <w:proofErr w:type="spellEnd"/>
            <w:r>
              <w:t xml:space="preserve"> Cards, simulation, and evaluation process; also includes </w:t>
            </w:r>
            <w:r w:rsidR="003E2938">
              <w:t>controller/eva</w:t>
            </w:r>
            <w:r>
              <w:t>luator assignments, the Exercise Evaluation Guides, and a template for the Events Log</w:t>
            </w:r>
          </w:p>
        </w:tc>
      </w:tr>
    </w:tbl>
    <w:p w:rsidR="00386913" w:rsidRDefault="004460D8" w:rsidP="00386913">
      <w:pPr>
        <w:pStyle w:val="Heading2"/>
      </w:pPr>
      <w:r w:rsidRPr="004460D8">
        <w:rPr>
          <w:noProof/>
          <w:szCs w:val="20"/>
        </w:rPr>
        <w:pict>
          <v:shape id="_x0000_s1033" type="#_x0000_t202" style="position:absolute;margin-left:263.35pt;margin-top:16.25pt;width:205.9pt;height:63.15pt;z-index:251667456;mso-height-percent:200;mso-position-horizontal-relative:text;mso-position-vertical-relative:text;mso-height-percent:200;mso-width-relative:margin;mso-height-relative:margin" strokecolor="#00b050">
            <v:textbox style="mso-next-textbox:#_x0000_s1033;mso-fit-shape-to-text:t">
              <w:txbxContent>
                <w:p w:rsidR="003E2938" w:rsidRPr="00EB08EF" w:rsidRDefault="003E2938" w:rsidP="003E2938">
                  <w:pPr>
                    <w:jc w:val="center"/>
                    <w:rPr>
                      <w:b/>
                    </w:rPr>
                  </w:pPr>
                  <w:r w:rsidRPr="00EB08EF">
                    <w:rPr>
                      <w:b/>
                    </w:rPr>
                    <w:t>Toolkit Reference</w:t>
                  </w:r>
                  <w:r>
                    <w:rPr>
                      <w:b/>
                    </w:rPr>
                    <w:t>s</w:t>
                  </w:r>
                  <w:r w:rsidRPr="00EB08EF">
                    <w:rPr>
                      <w:b/>
                    </w:rPr>
                    <w:t xml:space="preserve">: </w:t>
                  </w:r>
                  <w:r>
                    <w:rPr>
                      <w:b/>
                    </w:rPr>
                    <w:t xml:space="preserve">Name Badge </w:t>
                  </w:r>
                  <w:r w:rsidRPr="00D97644">
                    <w:rPr>
                      <w:b/>
                    </w:rPr>
                    <w:t xml:space="preserve">Templates for </w:t>
                  </w:r>
                  <w:r>
                    <w:rPr>
                      <w:b/>
                    </w:rPr>
                    <w:t>Actors, Controllers, Evaluators, Media, Observers, Players, and Support Staff</w:t>
                  </w:r>
                </w:p>
              </w:txbxContent>
            </v:textbox>
            <w10:wrap type="square"/>
          </v:shape>
        </w:pict>
      </w:r>
      <w:bookmarkStart w:id="28" w:name="_Toc423618173"/>
      <w:r w:rsidR="00386913">
        <w:t>Name Badge Templates</w:t>
      </w:r>
      <w:bookmarkEnd w:id="28"/>
    </w:p>
    <w:p w:rsidR="007276C0" w:rsidRDefault="001C6978" w:rsidP="00386913">
      <w:pPr>
        <w:rPr>
          <w:szCs w:val="20"/>
        </w:rPr>
      </w:pPr>
      <w:r>
        <w:rPr>
          <w:szCs w:val="20"/>
        </w:rPr>
        <w:t>The Toolkit includes templates for c</w:t>
      </w:r>
      <w:r w:rsidR="001F7569">
        <w:rPr>
          <w:szCs w:val="20"/>
        </w:rPr>
        <w:t>olor-coded name badges for all drill participants</w:t>
      </w:r>
      <w:r>
        <w:rPr>
          <w:szCs w:val="20"/>
        </w:rPr>
        <w:t xml:space="preserve">. </w:t>
      </w:r>
      <w:r w:rsidR="007276C0">
        <w:rPr>
          <w:szCs w:val="20"/>
        </w:rPr>
        <w:t xml:space="preserve">Each participant should be given a badge with the color appropriate to his or her role. This will help participants differentiate roles during play and also help identify anyone who should not be in the drill play area. </w:t>
      </w:r>
      <w:r w:rsidR="003E2938">
        <w:rPr>
          <w:szCs w:val="20"/>
        </w:rPr>
        <w:t xml:space="preserve">Actor badge templates are included both with and without individual names, since drill planners may decide that including actor names on the badges may confuse players when the actors play other roles. If dedicated simulators are used, they should either be </w:t>
      </w:r>
      <w:proofErr w:type="spellStart"/>
      <w:r w:rsidR="003E2938">
        <w:rPr>
          <w:szCs w:val="20"/>
        </w:rPr>
        <w:t>badged</w:t>
      </w:r>
      <w:proofErr w:type="spellEnd"/>
      <w:r w:rsidR="003E2938">
        <w:rPr>
          <w:szCs w:val="20"/>
        </w:rPr>
        <w:t xml:space="preserve"> as controllers or a new color identified for simulator badges. </w:t>
      </w:r>
    </w:p>
    <w:p w:rsidR="007276C0" w:rsidRDefault="007276C0" w:rsidP="00386913">
      <w:pPr>
        <w:rPr>
          <w:szCs w:val="20"/>
        </w:rPr>
      </w:pPr>
    </w:p>
    <w:p w:rsidR="00386913" w:rsidRPr="00386913" w:rsidRDefault="007276C0" w:rsidP="00386913">
      <w:r>
        <w:rPr>
          <w:szCs w:val="20"/>
        </w:rPr>
        <w:t xml:space="preserve">The templates are provided in Microsoft Word and have been </w:t>
      </w:r>
      <w:r w:rsidR="00894B9E">
        <w:rPr>
          <w:szCs w:val="20"/>
        </w:rPr>
        <w:t xml:space="preserve">set up in a table </w:t>
      </w:r>
      <w:r>
        <w:rPr>
          <w:szCs w:val="20"/>
        </w:rPr>
        <w:t>formatted to fit Avery 5392 Name Badge Insert Refills</w:t>
      </w:r>
      <w:r w:rsidR="00894B9E">
        <w:rPr>
          <w:szCs w:val="20"/>
        </w:rPr>
        <w:t>. The file can be adjusted to fit any name badge kit desired; accompanying adjustments to fonts and line spacing will be needed.</w:t>
      </w:r>
      <w:r w:rsidR="001C6978">
        <w:rPr>
          <w:szCs w:val="20"/>
        </w:rPr>
        <w:t xml:space="preserve"> </w:t>
      </w:r>
      <w:r w:rsidR="001F7569">
        <w:t xml:space="preserve"> </w:t>
      </w:r>
    </w:p>
    <w:p w:rsidR="00386913" w:rsidRDefault="00386913" w:rsidP="002B2631">
      <w:pPr>
        <w:pStyle w:val="BodyText"/>
        <w:sectPr w:rsidR="00386913" w:rsidSect="00E57E00">
          <w:footerReference w:type="default" r:id="rId18"/>
          <w:pgSz w:w="12240" w:h="15840" w:code="1"/>
          <w:pgMar w:top="1440" w:right="1440" w:bottom="1440" w:left="1440" w:header="720" w:footer="720" w:gutter="0"/>
          <w:cols w:space="720"/>
          <w:docGrid w:linePitch="360"/>
        </w:sectPr>
      </w:pPr>
    </w:p>
    <w:p w:rsidR="0089158E" w:rsidRDefault="00206A20" w:rsidP="0089158E">
      <w:pPr>
        <w:pStyle w:val="Heading1"/>
      </w:pPr>
      <w:bookmarkStart w:id="29" w:name="_Toc423618174"/>
      <w:bookmarkStart w:id="30" w:name="_Toc336426672"/>
      <w:bookmarkStart w:id="31" w:name="_Toc336596364"/>
      <w:r>
        <w:lastRenderedPageBreak/>
        <w:t>Drill Evaluation</w:t>
      </w:r>
      <w:bookmarkEnd w:id="29"/>
    </w:p>
    <w:p w:rsidR="003D2274" w:rsidRDefault="003D2274" w:rsidP="003D2274">
      <w:pPr>
        <w:pStyle w:val="BodyText"/>
      </w:pPr>
      <w:r>
        <w:t xml:space="preserve">Evaluation of the CRC Drill will help identify both player strengths and gaps or areas for improvement. The Toolkit includes tools to ensure a consistent evaluation process among evaluators. </w:t>
      </w:r>
    </w:p>
    <w:p w:rsidR="0089158E" w:rsidRDefault="004460D8" w:rsidP="0089158E">
      <w:pPr>
        <w:pStyle w:val="Heading2"/>
      </w:pPr>
      <w:r>
        <w:rPr>
          <w:noProof/>
        </w:rPr>
        <w:pict>
          <v:shape id="_x0000_s1034" type="#_x0000_t202" style="position:absolute;margin-left:258.5pt;margin-top:6.75pt;width:205.9pt;height:63.15pt;z-index:251668480;mso-height-percent:200;mso-height-percent:200;mso-width-relative:margin;mso-height-relative:margin" strokecolor="#00b050">
            <v:textbox style="mso-next-textbox:#_x0000_s1034;mso-fit-shape-to-text:t">
              <w:txbxContent>
                <w:p w:rsidR="003D2274" w:rsidRPr="00EB08EF" w:rsidRDefault="003D2274" w:rsidP="003D2274">
                  <w:pPr>
                    <w:jc w:val="center"/>
                    <w:rPr>
                      <w:b/>
                    </w:rPr>
                  </w:pPr>
                  <w:r w:rsidRPr="00EB08EF">
                    <w:rPr>
                      <w:b/>
                    </w:rPr>
                    <w:t xml:space="preserve">Toolkit Reference: </w:t>
                  </w:r>
                  <w:r>
                    <w:rPr>
                      <w:b/>
                    </w:rPr>
                    <w:t>EEGs</w:t>
                  </w:r>
                </w:p>
              </w:txbxContent>
            </v:textbox>
            <w10:wrap type="square"/>
          </v:shape>
        </w:pict>
      </w:r>
      <w:bookmarkStart w:id="32" w:name="_Toc423618175"/>
      <w:r w:rsidR="003D2274">
        <w:t>Exercise Evaluation Guides</w:t>
      </w:r>
      <w:bookmarkEnd w:id="32"/>
    </w:p>
    <w:p w:rsidR="001F7569" w:rsidRDefault="003D2274" w:rsidP="001F7569">
      <w:pPr>
        <w:pStyle w:val="BodyText"/>
      </w:pPr>
      <w:r>
        <w:t>Exercise Evaluation Guides (</w:t>
      </w:r>
      <w:r w:rsidR="001F7569" w:rsidRPr="002C313F">
        <w:t>EEGs</w:t>
      </w:r>
      <w:r>
        <w:t>)</w:t>
      </w:r>
      <w:r w:rsidR="001F7569" w:rsidRPr="002C313F">
        <w:t xml:space="preserve"> assist evaluators in collecting relevant drill observations. EEGs document drill objectives and aligned core capabilities, capability targets, and critical tasks. Each EEG provides evaluators with information on what they should expect to see demonstrated in their functional area. The EEGs are used to evaluate the drill and compile the </w:t>
      </w:r>
      <w:r>
        <w:t>After-Action Report</w:t>
      </w:r>
      <w:r w:rsidR="001F7569" w:rsidRPr="002C313F">
        <w:t>.</w:t>
      </w:r>
    </w:p>
    <w:p w:rsidR="003D2274" w:rsidRPr="005C7E72" w:rsidRDefault="003D2274" w:rsidP="001F7569">
      <w:pPr>
        <w:pStyle w:val="BodyText"/>
        <w:rPr>
          <w:rFonts w:ascii="Joanna MT" w:hAnsi="Joanna MT"/>
        </w:rPr>
      </w:pPr>
      <w:r>
        <w:t xml:space="preserve">The included EEGs are tailored to the objectives, capabilities, and tasks suggested in the Toolkit. The Drill Planning Team should modify or add to the EEGs as needed to match those objectives, capabilities, and tasks chosen by the team. The EEGs also contain placeholders for the Drill Planning Team to add information on local plans, procedures, and other references against which the evaluators will measure performance. </w:t>
      </w:r>
      <w:r w:rsidR="00BC1958">
        <w:t xml:space="preserve">Evaluators will complete and return the EEGs after the Hot Wash, described below. </w:t>
      </w:r>
    </w:p>
    <w:p w:rsidR="0089158E" w:rsidRDefault="004460D8" w:rsidP="0089158E">
      <w:pPr>
        <w:pStyle w:val="Heading2"/>
      </w:pPr>
      <w:r>
        <w:rPr>
          <w:noProof/>
        </w:rPr>
        <w:pict>
          <v:shape id="_x0000_s1035" type="#_x0000_t202" style="position:absolute;margin-left:258.9pt;margin-top:-.15pt;width:205.9pt;height:21.75pt;z-index:251669504;mso-height-percent:200;mso-height-percent:200;mso-width-relative:margin;mso-height-relative:margin" strokecolor="#00b050">
            <v:textbox style="mso-next-textbox:#_x0000_s1035;mso-fit-shape-to-text:t">
              <w:txbxContent>
                <w:p w:rsidR="00BC1958" w:rsidRPr="00EB08EF" w:rsidRDefault="00BC1958" w:rsidP="00BC1958">
                  <w:pPr>
                    <w:jc w:val="center"/>
                    <w:rPr>
                      <w:b/>
                    </w:rPr>
                  </w:pPr>
                  <w:r w:rsidRPr="00EB08EF">
                    <w:rPr>
                      <w:b/>
                    </w:rPr>
                    <w:t>Toolkit Reference</w:t>
                  </w:r>
                  <w:r>
                    <w:rPr>
                      <w:b/>
                    </w:rPr>
                    <w:t>s</w:t>
                  </w:r>
                  <w:r w:rsidRPr="00EB08EF">
                    <w:rPr>
                      <w:b/>
                    </w:rPr>
                    <w:t xml:space="preserve">: </w:t>
                  </w:r>
                  <w:r>
                    <w:rPr>
                      <w:b/>
                    </w:rPr>
                    <w:t>Actor Feedback Form and Participant Feedback Form</w:t>
                  </w:r>
                </w:p>
              </w:txbxContent>
            </v:textbox>
            <w10:wrap type="square"/>
          </v:shape>
        </w:pict>
      </w:r>
      <w:bookmarkStart w:id="33" w:name="_Toc423618176"/>
      <w:r w:rsidR="0089158E">
        <w:t>P</w:t>
      </w:r>
      <w:r w:rsidR="009C3D12">
        <w:t>articipant</w:t>
      </w:r>
      <w:bookmarkEnd w:id="30"/>
      <w:r w:rsidR="0089158E">
        <w:t xml:space="preserve"> </w:t>
      </w:r>
      <w:r w:rsidR="003D2274">
        <w:t>Feedback</w:t>
      </w:r>
      <w:bookmarkEnd w:id="33"/>
    </w:p>
    <w:p w:rsidR="003D2274" w:rsidRDefault="003D2274" w:rsidP="003D2274">
      <w:r>
        <w:t xml:space="preserve">After the drill, participants will discuss their </w:t>
      </w:r>
      <w:r w:rsidR="009B4B26">
        <w:t>views and insights</w:t>
      </w:r>
      <w:r>
        <w:t xml:space="preserve"> about the drill and their own </w:t>
      </w:r>
      <w:r w:rsidR="009B4B26">
        <w:t>experience</w:t>
      </w:r>
      <w:r>
        <w:t xml:space="preserve"> during a Hot Wash, which may begin in individual CRC stations before participants join together in a drill-wide Hot Wash. Participants will discuss the strengths they observed and areas for improvement</w:t>
      </w:r>
      <w:r w:rsidR="009B4B26">
        <w:t>, as well as anything observed that was unexpected</w:t>
      </w:r>
      <w:r>
        <w:t xml:space="preserve">. Actors will have their own opportunity to share their impressions </w:t>
      </w:r>
      <w:r w:rsidR="009B4B26">
        <w:t xml:space="preserve">and insights </w:t>
      </w:r>
      <w:r>
        <w:t xml:space="preserve">during an actor debriefing. Following the Hot Wash, controllers and evaluators will hold a separate debriefing to </w:t>
      </w:r>
      <w:r w:rsidRPr="002C313F">
        <w:t xml:space="preserve">discuss their observations, provide an overview of their observed functional areas, and </w:t>
      </w:r>
      <w:r w:rsidR="00BC1958">
        <w:t xml:space="preserve">further </w:t>
      </w:r>
      <w:r w:rsidRPr="002C313F">
        <w:t xml:space="preserve">discuss strengths and areas for </w:t>
      </w:r>
      <w:r w:rsidR="002A2544">
        <w:t>inclusion in</w:t>
      </w:r>
      <w:r w:rsidR="00BC1958">
        <w:t xml:space="preserve"> the After-Action Report</w:t>
      </w:r>
      <w:r w:rsidRPr="002C313F">
        <w:t xml:space="preserve">. </w:t>
      </w:r>
    </w:p>
    <w:p w:rsidR="00BC1958" w:rsidRDefault="00BC1958" w:rsidP="003D2274"/>
    <w:p w:rsidR="00BC1958" w:rsidRDefault="00BC1958" w:rsidP="003D2274">
      <w:r>
        <w:t xml:space="preserve">Evaluators will document their findings on the EEGs, as discussed above, but all participants will have the opportunity to provide their observations in writing on a participant feedback form. The Toolkit includes templates for two forms, one intended only for actors and one intended for players, controllers/evaluators, and other drill staff.  The form for actors solicits feedback on drill design and play from an actor’s perspective, including their assessment of the performance of the players in handling the members of the public the actors were asked to portray. The form for other participants also solicits feedback on drill design and play, as well as feedback on training or changes to plans and procedures </w:t>
      </w:r>
      <w:r w:rsidR="00E90DAB">
        <w:t xml:space="preserve">that </w:t>
      </w:r>
      <w:r>
        <w:t xml:space="preserve">might be helpful. Both forms collect information in both quantitative and qualitative formats, asking respondents to rate their assessments on a scale of 1 to 5 and to also provide short written summaries of strengths and areas for improvement by station, as well as recommendations for future exercises.    </w:t>
      </w:r>
    </w:p>
    <w:p w:rsidR="00C81A9C" w:rsidRDefault="00C81A9C" w:rsidP="003D2274"/>
    <w:p w:rsidR="00C81A9C" w:rsidRDefault="00C81A9C" w:rsidP="00C81A9C">
      <w:pPr>
        <w:pStyle w:val="BodyText"/>
        <w:spacing w:after="0"/>
        <w:sectPr w:rsidR="00C81A9C" w:rsidSect="009B4B26">
          <w:footerReference w:type="default" r:id="rId19"/>
          <w:pgSz w:w="12240" w:h="15840" w:code="1"/>
          <w:pgMar w:top="1440" w:right="1440" w:bottom="1152" w:left="1440" w:header="720" w:footer="720" w:gutter="0"/>
          <w:cols w:space="720"/>
          <w:docGrid w:linePitch="360"/>
        </w:sectPr>
      </w:pPr>
      <w:r>
        <w:t>Information from these forms will also be used in developing the After-Action Report</w:t>
      </w:r>
      <w:r w:rsidR="00E90DAB">
        <w:t>. The findings will be used to improve</w:t>
      </w:r>
      <w:r>
        <w:t xml:space="preserve"> CRC plans, procedures, and training, </w:t>
      </w:r>
      <w:r w:rsidR="00E90DAB">
        <w:t>as well as</w:t>
      </w:r>
      <w:r>
        <w:t xml:space="preserve"> future exercises.</w:t>
      </w:r>
    </w:p>
    <w:p w:rsidR="008D6580" w:rsidRPr="003707C6" w:rsidRDefault="008D6580" w:rsidP="003707C6">
      <w:pPr>
        <w:pStyle w:val="AppendixHeading"/>
      </w:pPr>
      <w:bookmarkStart w:id="34" w:name="_Toc336596372"/>
      <w:bookmarkEnd w:id="31"/>
      <w:r w:rsidRPr="003707C6">
        <w:lastRenderedPageBreak/>
        <w:t xml:space="preserve">Appendix A:  </w:t>
      </w:r>
      <w:r w:rsidR="002B3BD7">
        <w:t>For Further Information</w:t>
      </w:r>
      <w:bookmarkEnd w:id="34"/>
    </w:p>
    <w:tbl>
      <w:tblPr>
        <w:tblW w:w="9387" w:type="dxa"/>
        <w:jc w:val="center"/>
        <w:tblInd w:w="-2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74"/>
        <w:gridCol w:w="4230"/>
        <w:gridCol w:w="2983"/>
      </w:tblGrid>
      <w:tr w:rsidR="002B3BD7" w:rsidRPr="00394D3A" w:rsidTr="008E196D">
        <w:trPr>
          <w:cantSplit/>
          <w:tblHeader/>
          <w:jc w:val="center"/>
        </w:trPr>
        <w:tc>
          <w:tcPr>
            <w:tcW w:w="2174" w:type="dxa"/>
            <w:tcBorders>
              <w:right w:val="single" w:sz="6" w:space="0" w:color="FFFFFF"/>
            </w:tcBorders>
            <w:shd w:val="clear" w:color="auto" w:fill="000080"/>
          </w:tcPr>
          <w:p w:rsidR="002B3BD7" w:rsidRPr="00DD6315" w:rsidRDefault="002B3BD7" w:rsidP="002B3BD7">
            <w:pPr>
              <w:pStyle w:val="Tabletext"/>
              <w:jc w:val="center"/>
              <w:rPr>
                <w:b/>
              </w:rPr>
            </w:pPr>
            <w:r w:rsidRPr="00DD6315">
              <w:rPr>
                <w:b/>
              </w:rPr>
              <w:t>T</w:t>
            </w:r>
            <w:r>
              <w:rPr>
                <w:b/>
              </w:rPr>
              <w:t>opic</w:t>
            </w:r>
          </w:p>
        </w:tc>
        <w:tc>
          <w:tcPr>
            <w:tcW w:w="4230" w:type="dxa"/>
            <w:tcBorders>
              <w:left w:val="single" w:sz="6" w:space="0" w:color="FFFFFF"/>
              <w:right w:val="single" w:sz="6" w:space="0" w:color="FFFFFF"/>
            </w:tcBorders>
            <w:shd w:val="clear" w:color="auto" w:fill="000080"/>
          </w:tcPr>
          <w:p w:rsidR="002B3BD7" w:rsidRPr="00DD6315" w:rsidRDefault="002B3BD7" w:rsidP="008D6580">
            <w:pPr>
              <w:pStyle w:val="Tabletext"/>
              <w:jc w:val="center"/>
              <w:rPr>
                <w:b/>
              </w:rPr>
            </w:pPr>
            <w:r>
              <w:rPr>
                <w:b/>
              </w:rPr>
              <w:t>Reference</w:t>
            </w:r>
          </w:p>
        </w:tc>
        <w:tc>
          <w:tcPr>
            <w:tcW w:w="2983" w:type="dxa"/>
            <w:tcBorders>
              <w:left w:val="single" w:sz="6" w:space="0" w:color="FFFFFF"/>
              <w:right w:val="single" w:sz="6" w:space="0" w:color="FFFFFF"/>
            </w:tcBorders>
            <w:shd w:val="clear" w:color="auto" w:fill="000080"/>
          </w:tcPr>
          <w:p w:rsidR="002B3BD7" w:rsidRPr="00DD6315" w:rsidRDefault="002B3BD7" w:rsidP="002B3BD7">
            <w:pPr>
              <w:pStyle w:val="Tabletext"/>
              <w:jc w:val="center"/>
              <w:rPr>
                <w:b/>
              </w:rPr>
            </w:pPr>
            <w:r>
              <w:rPr>
                <w:b/>
              </w:rPr>
              <w:t>Source</w:t>
            </w:r>
          </w:p>
        </w:tc>
      </w:tr>
      <w:tr w:rsidR="008E196D" w:rsidRPr="00394D3A" w:rsidTr="008E196D">
        <w:trPr>
          <w:cantSplit/>
          <w:jc w:val="center"/>
        </w:trPr>
        <w:tc>
          <w:tcPr>
            <w:tcW w:w="2174" w:type="dxa"/>
            <w:vMerge w:val="restart"/>
          </w:tcPr>
          <w:p w:rsidR="008E196D" w:rsidRPr="002B3BD7" w:rsidRDefault="008E196D" w:rsidP="008D6580">
            <w:pPr>
              <w:pStyle w:val="Tabletext"/>
            </w:pPr>
            <w:r>
              <w:t>Population Monitoring Guidance</w:t>
            </w:r>
          </w:p>
        </w:tc>
        <w:tc>
          <w:tcPr>
            <w:tcW w:w="4230" w:type="dxa"/>
          </w:tcPr>
          <w:p w:rsidR="008E196D" w:rsidRPr="002B3BD7" w:rsidRDefault="008E196D" w:rsidP="008D6580">
            <w:pPr>
              <w:pStyle w:val="Tabletext"/>
            </w:pPr>
            <w:r>
              <w:t xml:space="preserve">Population Monitoring in Radiation Emergencies: A Guide for State and Local Public Health Planners, Second Edition, April 2014 </w:t>
            </w:r>
          </w:p>
        </w:tc>
        <w:tc>
          <w:tcPr>
            <w:tcW w:w="2983" w:type="dxa"/>
          </w:tcPr>
          <w:p w:rsidR="008E196D" w:rsidRPr="002B3BD7" w:rsidRDefault="004460D8" w:rsidP="008D6580">
            <w:pPr>
              <w:pStyle w:val="Tabletext"/>
            </w:pPr>
            <w:hyperlink r:id="rId20" w:history="1">
              <w:r w:rsidR="008E196D" w:rsidRPr="003B2D58">
                <w:rPr>
                  <w:rStyle w:val="Hyperlink"/>
                </w:rPr>
                <w:t>http://www.bt.cdc.gov/radiation/pdf/population-monitoring-guide.pdf</w:t>
              </w:r>
            </w:hyperlink>
            <w:r w:rsidR="008E196D">
              <w:t xml:space="preserve"> (document)</w:t>
            </w:r>
          </w:p>
        </w:tc>
      </w:tr>
      <w:tr w:rsidR="008E196D" w:rsidRPr="00394D3A" w:rsidTr="008E196D">
        <w:trPr>
          <w:cantSplit/>
          <w:jc w:val="center"/>
        </w:trPr>
        <w:tc>
          <w:tcPr>
            <w:tcW w:w="2174" w:type="dxa"/>
            <w:vMerge/>
          </w:tcPr>
          <w:p w:rsidR="008E196D" w:rsidRDefault="008E196D" w:rsidP="008D6580">
            <w:pPr>
              <w:pStyle w:val="Tabletext"/>
            </w:pPr>
          </w:p>
        </w:tc>
        <w:tc>
          <w:tcPr>
            <w:tcW w:w="4230" w:type="dxa"/>
          </w:tcPr>
          <w:p w:rsidR="008E196D" w:rsidRDefault="008E196D" w:rsidP="008D6580">
            <w:pPr>
              <w:pStyle w:val="Tabletext"/>
            </w:pPr>
            <w:r>
              <w:t>Preparing for Radiological Population Monitoring and Decontamination</w:t>
            </w:r>
          </w:p>
        </w:tc>
        <w:tc>
          <w:tcPr>
            <w:tcW w:w="2983" w:type="dxa"/>
          </w:tcPr>
          <w:p w:rsidR="008E196D" w:rsidRDefault="004460D8" w:rsidP="00B06C08">
            <w:pPr>
              <w:pStyle w:val="Tabletext"/>
            </w:pPr>
            <w:hyperlink r:id="rId21" w:anchor="modalIdString_example" w:history="1">
              <w:r w:rsidR="008E196D" w:rsidRPr="003B2D58">
                <w:rPr>
                  <w:rStyle w:val="Hyperlink"/>
                </w:rPr>
                <w:t>http://www.bt.cdc.gov/radiation/resourcelibrary/populationmonitoring.asp#modalIdString_example</w:t>
              </w:r>
            </w:hyperlink>
            <w:r w:rsidR="008E196D">
              <w:t xml:space="preserve"> (video)</w:t>
            </w:r>
          </w:p>
        </w:tc>
      </w:tr>
      <w:tr w:rsidR="008E196D" w:rsidRPr="00394D3A" w:rsidTr="008E196D">
        <w:trPr>
          <w:cantSplit/>
          <w:jc w:val="center"/>
        </w:trPr>
        <w:tc>
          <w:tcPr>
            <w:tcW w:w="2174" w:type="dxa"/>
            <w:vMerge w:val="restart"/>
          </w:tcPr>
          <w:p w:rsidR="008E196D" w:rsidRPr="002B3BD7" w:rsidRDefault="008E196D" w:rsidP="008D6580">
            <w:pPr>
              <w:pStyle w:val="Tabletext"/>
            </w:pPr>
            <w:r>
              <w:t>CRC Tools</w:t>
            </w:r>
          </w:p>
        </w:tc>
        <w:tc>
          <w:tcPr>
            <w:tcW w:w="4230" w:type="dxa"/>
          </w:tcPr>
          <w:p w:rsidR="008E196D" w:rsidRPr="002B3BD7" w:rsidRDefault="008E196D" w:rsidP="008D6580">
            <w:pPr>
              <w:pStyle w:val="Tabletext"/>
            </w:pPr>
            <w:r>
              <w:t>Community Reception Center Overview</w:t>
            </w:r>
          </w:p>
        </w:tc>
        <w:tc>
          <w:tcPr>
            <w:tcW w:w="2983" w:type="dxa"/>
          </w:tcPr>
          <w:p w:rsidR="008E196D" w:rsidRPr="002B3BD7" w:rsidRDefault="004460D8" w:rsidP="00B06C08">
            <w:pPr>
              <w:pStyle w:val="Tabletext"/>
            </w:pPr>
            <w:hyperlink r:id="rId22" w:history="1">
              <w:r w:rsidR="008E196D" w:rsidRPr="003B2D58">
                <w:rPr>
                  <w:rStyle w:val="Hyperlink"/>
                </w:rPr>
                <w:t>http://www.orau.gov/rsb/CRCoverviewVideo/</w:t>
              </w:r>
            </w:hyperlink>
            <w:r w:rsidR="008E196D">
              <w:t xml:space="preserve"> (video)</w:t>
            </w:r>
          </w:p>
        </w:tc>
      </w:tr>
      <w:tr w:rsidR="008E196D" w:rsidRPr="00394D3A" w:rsidTr="008E196D">
        <w:trPr>
          <w:cantSplit/>
          <w:jc w:val="center"/>
        </w:trPr>
        <w:tc>
          <w:tcPr>
            <w:tcW w:w="2174" w:type="dxa"/>
            <w:vMerge/>
          </w:tcPr>
          <w:p w:rsidR="008E196D" w:rsidRPr="002B3BD7" w:rsidRDefault="008E196D" w:rsidP="00B06C08">
            <w:pPr>
              <w:pStyle w:val="Tabletext"/>
            </w:pPr>
          </w:p>
        </w:tc>
        <w:tc>
          <w:tcPr>
            <w:tcW w:w="4230" w:type="dxa"/>
          </w:tcPr>
          <w:p w:rsidR="008E196D" w:rsidRPr="002B3BD7" w:rsidRDefault="008E196D" w:rsidP="0013478C">
            <w:pPr>
              <w:pStyle w:val="Tabletext"/>
            </w:pPr>
            <w:r>
              <w:t>Virtual Community Reception Center (</w:t>
            </w:r>
            <w:proofErr w:type="spellStart"/>
            <w:r>
              <w:t>vCRC</w:t>
            </w:r>
            <w:proofErr w:type="spellEnd"/>
            <w:r>
              <w:t>)</w:t>
            </w:r>
          </w:p>
        </w:tc>
        <w:tc>
          <w:tcPr>
            <w:tcW w:w="2983" w:type="dxa"/>
          </w:tcPr>
          <w:p w:rsidR="008E196D" w:rsidRPr="002B3BD7" w:rsidRDefault="004460D8" w:rsidP="0013478C">
            <w:pPr>
              <w:pStyle w:val="Tabletext"/>
            </w:pPr>
            <w:hyperlink r:id="rId23" w:history="1">
              <w:r w:rsidR="008E196D" w:rsidRPr="003B2D58">
                <w:rPr>
                  <w:rStyle w:val="Hyperlink"/>
                </w:rPr>
                <w:t>http://www.bt.cdc.gov/radiation/crc/vcrc.asp</w:t>
              </w:r>
            </w:hyperlink>
            <w:r w:rsidR="008E196D">
              <w:t xml:space="preserve"> (training tool)</w:t>
            </w:r>
          </w:p>
        </w:tc>
      </w:tr>
      <w:tr w:rsidR="008E196D" w:rsidRPr="00394D3A" w:rsidTr="008E196D">
        <w:trPr>
          <w:cantSplit/>
          <w:jc w:val="center"/>
        </w:trPr>
        <w:tc>
          <w:tcPr>
            <w:tcW w:w="2174" w:type="dxa"/>
            <w:vMerge/>
          </w:tcPr>
          <w:p w:rsidR="008E196D" w:rsidRPr="002B3BD7" w:rsidRDefault="008E196D" w:rsidP="00B06C08">
            <w:pPr>
              <w:pStyle w:val="Tabletext"/>
            </w:pPr>
          </w:p>
        </w:tc>
        <w:tc>
          <w:tcPr>
            <w:tcW w:w="4230" w:type="dxa"/>
          </w:tcPr>
          <w:p w:rsidR="008E196D" w:rsidRPr="002B3BD7" w:rsidRDefault="008E196D" w:rsidP="00B06C08">
            <w:pPr>
              <w:pStyle w:val="Tabletext"/>
            </w:pPr>
            <w:proofErr w:type="spellStart"/>
            <w:r>
              <w:t>RealOpt</w:t>
            </w:r>
            <w:proofErr w:type="spellEnd"/>
            <w:r>
              <w:t xml:space="preserve"> CRC</w:t>
            </w:r>
          </w:p>
        </w:tc>
        <w:tc>
          <w:tcPr>
            <w:tcW w:w="2983" w:type="dxa"/>
          </w:tcPr>
          <w:p w:rsidR="008E196D" w:rsidRPr="002B3BD7" w:rsidRDefault="004460D8" w:rsidP="00B06C08">
            <w:pPr>
              <w:pStyle w:val="Tabletext"/>
            </w:pPr>
            <w:hyperlink r:id="rId24" w:history="1">
              <w:r w:rsidR="008E196D" w:rsidRPr="003B2D58">
                <w:rPr>
                  <w:rStyle w:val="Hyperlink"/>
                </w:rPr>
                <w:t>http://www.orau.gov/rsb/realopt/</w:t>
              </w:r>
            </w:hyperlink>
            <w:r w:rsidR="008E196D">
              <w:t xml:space="preserve"> (website, video, and model)</w:t>
            </w:r>
          </w:p>
        </w:tc>
      </w:tr>
      <w:tr w:rsidR="008E196D" w:rsidRPr="00394D3A" w:rsidTr="008E196D">
        <w:trPr>
          <w:cantSplit/>
          <w:jc w:val="center"/>
        </w:trPr>
        <w:tc>
          <w:tcPr>
            <w:tcW w:w="2174" w:type="dxa"/>
            <w:vMerge/>
          </w:tcPr>
          <w:p w:rsidR="008E196D" w:rsidRPr="002B3BD7" w:rsidRDefault="008E196D" w:rsidP="008D6580">
            <w:pPr>
              <w:pStyle w:val="Tabletext"/>
            </w:pPr>
          </w:p>
        </w:tc>
        <w:tc>
          <w:tcPr>
            <w:tcW w:w="4230" w:type="dxa"/>
          </w:tcPr>
          <w:p w:rsidR="008E196D" w:rsidRPr="002B3BD7" w:rsidRDefault="008E196D" w:rsidP="00A43E5C">
            <w:pPr>
              <w:pStyle w:val="Tabletext"/>
            </w:pPr>
            <w:r>
              <w:t>CRC Simulation Tool for Evaluation and Planning (CRC-STEP)</w:t>
            </w:r>
          </w:p>
        </w:tc>
        <w:tc>
          <w:tcPr>
            <w:tcW w:w="2983" w:type="dxa"/>
          </w:tcPr>
          <w:p w:rsidR="008E196D" w:rsidRPr="002B3BD7" w:rsidRDefault="004460D8" w:rsidP="00B06C08">
            <w:pPr>
              <w:pStyle w:val="Tabletext"/>
            </w:pPr>
            <w:hyperlink r:id="rId25" w:history="1">
              <w:r w:rsidR="008E196D" w:rsidRPr="003B2D58">
                <w:rPr>
                  <w:rStyle w:val="Hyperlink"/>
                </w:rPr>
                <w:t>http://www.orau.gov/rsb/step/</w:t>
              </w:r>
            </w:hyperlink>
            <w:r w:rsidR="008E196D">
              <w:t xml:space="preserve"> (website, video, and model)</w:t>
            </w:r>
          </w:p>
        </w:tc>
      </w:tr>
      <w:tr w:rsidR="008E196D" w:rsidRPr="00394D3A" w:rsidTr="008E196D">
        <w:trPr>
          <w:cantSplit/>
          <w:jc w:val="center"/>
        </w:trPr>
        <w:tc>
          <w:tcPr>
            <w:tcW w:w="2174" w:type="dxa"/>
            <w:vMerge w:val="restart"/>
          </w:tcPr>
          <w:p w:rsidR="008E196D" w:rsidRPr="002B3BD7" w:rsidRDefault="008E196D" w:rsidP="008D6580">
            <w:pPr>
              <w:pStyle w:val="Tabletext"/>
              <w:rPr>
                <w:bCs/>
              </w:rPr>
            </w:pPr>
            <w:r>
              <w:rPr>
                <w:bCs/>
              </w:rPr>
              <w:t>HSEEP Guidance</w:t>
            </w:r>
          </w:p>
        </w:tc>
        <w:tc>
          <w:tcPr>
            <w:tcW w:w="4230" w:type="dxa"/>
          </w:tcPr>
          <w:p w:rsidR="008E196D" w:rsidRPr="002B3BD7" w:rsidRDefault="008E196D" w:rsidP="00C81E1D">
            <w:pPr>
              <w:pStyle w:val="Tabletext"/>
            </w:pPr>
            <w:r>
              <w:t>Homeland Security Exercise and Evaluation Program (HSEEP), April 2013 (DHS)</w:t>
            </w:r>
          </w:p>
        </w:tc>
        <w:tc>
          <w:tcPr>
            <w:tcW w:w="2983" w:type="dxa"/>
          </w:tcPr>
          <w:p w:rsidR="008E196D" w:rsidRPr="002B3BD7" w:rsidRDefault="004460D8" w:rsidP="00B06C08">
            <w:pPr>
              <w:pStyle w:val="Tabletext"/>
            </w:pPr>
            <w:hyperlink r:id="rId26" w:history="1">
              <w:r w:rsidR="008E196D" w:rsidRPr="003B2D58">
                <w:rPr>
                  <w:rStyle w:val="Hyperlink"/>
                </w:rPr>
                <w:t>http://www.fema.gov/media-library-data/20130726-1914-25045-8890/hseep_apr13_.pdf</w:t>
              </w:r>
            </w:hyperlink>
            <w:r w:rsidR="008E196D">
              <w:t xml:space="preserve"> (document)</w:t>
            </w:r>
          </w:p>
        </w:tc>
      </w:tr>
      <w:tr w:rsidR="008E196D" w:rsidRPr="00394D3A" w:rsidTr="008E196D">
        <w:trPr>
          <w:cantSplit/>
          <w:jc w:val="center"/>
        </w:trPr>
        <w:tc>
          <w:tcPr>
            <w:tcW w:w="2174" w:type="dxa"/>
            <w:vMerge/>
          </w:tcPr>
          <w:p w:rsidR="008E196D" w:rsidRPr="002B3BD7" w:rsidRDefault="008E196D" w:rsidP="008D6580">
            <w:pPr>
              <w:pStyle w:val="Tabletext"/>
              <w:rPr>
                <w:bCs/>
              </w:rPr>
            </w:pPr>
          </w:p>
        </w:tc>
        <w:tc>
          <w:tcPr>
            <w:tcW w:w="4230" w:type="dxa"/>
          </w:tcPr>
          <w:p w:rsidR="008E196D" w:rsidRPr="002B3BD7" w:rsidRDefault="008E196D" w:rsidP="00864821">
            <w:pPr>
              <w:pStyle w:val="Tabletext"/>
            </w:pPr>
            <w:r>
              <w:t>National Preparedness Goal</w:t>
            </w:r>
          </w:p>
        </w:tc>
        <w:tc>
          <w:tcPr>
            <w:tcW w:w="2983" w:type="dxa"/>
          </w:tcPr>
          <w:p w:rsidR="008E196D" w:rsidRPr="002B3BD7" w:rsidRDefault="004460D8" w:rsidP="00864821">
            <w:pPr>
              <w:pStyle w:val="Tabletext"/>
            </w:pPr>
            <w:hyperlink r:id="rId27" w:history="1">
              <w:r w:rsidR="008E196D" w:rsidRPr="003B2D58">
                <w:rPr>
                  <w:rStyle w:val="Hyperlink"/>
                </w:rPr>
                <w:t>http://www.fema.gov/media-library-data/20130726-1828-25045-9470/national_preparedness_goal_2011.pdf</w:t>
              </w:r>
            </w:hyperlink>
            <w:r w:rsidR="008E196D">
              <w:t xml:space="preserve"> (document)</w:t>
            </w:r>
          </w:p>
        </w:tc>
      </w:tr>
      <w:tr w:rsidR="00A43E5C" w:rsidRPr="00394D3A" w:rsidTr="008E196D">
        <w:trPr>
          <w:cantSplit/>
          <w:jc w:val="center"/>
        </w:trPr>
        <w:tc>
          <w:tcPr>
            <w:tcW w:w="2174" w:type="dxa"/>
          </w:tcPr>
          <w:p w:rsidR="00A43E5C" w:rsidRPr="002B3BD7" w:rsidRDefault="00A43E5C" w:rsidP="00EF3C3D">
            <w:pPr>
              <w:pStyle w:val="Tabletext"/>
            </w:pPr>
            <w:r>
              <w:t>Radiation Basics</w:t>
            </w:r>
          </w:p>
        </w:tc>
        <w:tc>
          <w:tcPr>
            <w:tcW w:w="4230" w:type="dxa"/>
          </w:tcPr>
          <w:p w:rsidR="00A43E5C" w:rsidRPr="002B3BD7" w:rsidRDefault="00A43E5C" w:rsidP="00223FC3">
            <w:pPr>
              <w:pStyle w:val="Tabletext"/>
            </w:pPr>
            <w:r>
              <w:t xml:space="preserve">Radiation Basics Made Simple </w:t>
            </w:r>
          </w:p>
        </w:tc>
        <w:tc>
          <w:tcPr>
            <w:tcW w:w="2983" w:type="dxa"/>
          </w:tcPr>
          <w:p w:rsidR="00A43E5C" w:rsidRPr="002B3BD7" w:rsidRDefault="004460D8" w:rsidP="00C81E1D">
            <w:pPr>
              <w:pStyle w:val="Tabletext"/>
            </w:pPr>
            <w:hyperlink r:id="rId28" w:history="1">
              <w:r w:rsidR="00A43E5C" w:rsidRPr="003B2D58">
                <w:rPr>
                  <w:rStyle w:val="Hyperlink"/>
                </w:rPr>
                <w:t>http://www.bt.cdc.gov/radiation/radbasics.asp</w:t>
              </w:r>
            </w:hyperlink>
            <w:r w:rsidR="00A43E5C">
              <w:t xml:space="preserve"> (training)</w:t>
            </w:r>
          </w:p>
        </w:tc>
      </w:tr>
      <w:tr w:rsidR="00223FC3" w:rsidRPr="00394D3A" w:rsidTr="008E196D">
        <w:trPr>
          <w:cantSplit/>
          <w:jc w:val="center"/>
        </w:trPr>
        <w:tc>
          <w:tcPr>
            <w:tcW w:w="2174" w:type="dxa"/>
            <w:vMerge w:val="restart"/>
          </w:tcPr>
          <w:p w:rsidR="00223FC3" w:rsidRPr="002B3BD7" w:rsidRDefault="00223FC3" w:rsidP="00697585">
            <w:pPr>
              <w:pStyle w:val="Tabletext"/>
            </w:pPr>
            <w:r>
              <w:t>Detailed Guidance for Specific CRC Issues</w:t>
            </w:r>
          </w:p>
        </w:tc>
        <w:tc>
          <w:tcPr>
            <w:tcW w:w="4230" w:type="dxa"/>
          </w:tcPr>
          <w:p w:rsidR="00223FC3" w:rsidRPr="002B3BD7" w:rsidRDefault="00223FC3" w:rsidP="00F20C25">
            <w:pPr>
              <w:pStyle w:val="Tabletext"/>
            </w:pPr>
            <w:r>
              <w:t>Screening People for External Contamination: How to Use Hand-held Radiation Survey Equipment</w:t>
            </w:r>
          </w:p>
        </w:tc>
        <w:tc>
          <w:tcPr>
            <w:tcW w:w="2983" w:type="dxa"/>
          </w:tcPr>
          <w:p w:rsidR="00223FC3" w:rsidRPr="002B3BD7" w:rsidRDefault="004460D8" w:rsidP="00697585">
            <w:pPr>
              <w:pStyle w:val="Tabletext"/>
            </w:pPr>
            <w:hyperlink r:id="rId29" w:history="1">
              <w:r w:rsidR="00223FC3" w:rsidRPr="003B2D58">
                <w:rPr>
                  <w:rStyle w:val="Hyperlink"/>
                </w:rPr>
                <w:t>http://www.bt.cdc.gov/radiation/screeningvideos/index.asp</w:t>
              </w:r>
            </w:hyperlink>
            <w:r w:rsidR="00223FC3">
              <w:t xml:space="preserve"> (video)</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327029">
            <w:pPr>
              <w:pStyle w:val="Tabletext"/>
            </w:pPr>
            <w:r>
              <w:t>Psychological First Aid in Radiation Disasters</w:t>
            </w:r>
          </w:p>
        </w:tc>
        <w:tc>
          <w:tcPr>
            <w:tcW w:w="2983" w:type="dxa"/>
          </w:tcPr>
          <w:p w:rsidR="00223FC3" w:rsidRPr="002B3BD7" w:rsidRDefault="004460D8" w:rsidP="00EF3C3D">
            <w:pPr>
              <w:pStyle w:val="Tabletext"/>
            </w:pPr>
            <w:hyperlink r:id="rId30" w:history="1">
              <w:r w:rsidR="00223FC3" w:rsidRPr="003B2D58">
                <w:rPr>
                  <w:rStyle w:val="Hyperlink"/>
                </w:rPr>
                <w:t>http://www2a.cdc.gov/TCEOnline/registration/detailpage.asp?res_id=2490</w:t>
              </w:r>
            </w:hyperlink>
            <w:r w:rsidR="00223FC3">
              <w:t xml:space="preserve"> (training)</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F20C25">
            <w:pPr>
              <w:pStyle w:val="Tabletext"/>
            </w:pPr>
            <w:r>
              <w:t>Medical Countermeasures for Radiation Exposure and Contamination</w:t>
            </w:r>
          </w:p>
        </w:tc>
        <w:tc>
          <w:tcPr>
            <w:tcW w:w="2983" w:type="dxa"/>
          </w:tcPr>
          <w:p w:rsidR="00223FC3" w:rsidRPr="002B3BD7" w:rsidRDefault="004460D8" w:rsidP="00C81E1D">
            <w:pPr>
              <w:pStyle w:val="Tabletext"/>
            </w:pPr>
            <w:hyperlink r:id="rId31" w:history="1">
              <w:r w:rsidR="00223FC3" w:rsidRPr="003B2D58">
                <w:rPr>
                  <w:rStyle w:val="Hyperlink"/>
                </w:rPr>
                <w:t>http://www.bt.cdc.gov/radiation/countermeasuretraining.asp</w:t>
              </w:r>
            </w:hyperlink>
            <w:r w:rsidR="00223FC3">
              <w:t xml:space="preserve"> (training)</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C81E1D">
            <w:pPr>
              <w:pStyle w:val="Tabletext"/>
            </w:pPr>
            <w:r>
              <w:t>Radiation and Pregnancy: A Fact Sheet for Clinicians</w:t>
            </w:r>
          </w:p>
        </w:tc>
        <w:tc>
          <w:tcPr>
            <w:tcW w:w="2983" w:type="dxa"/>
          </w:tcPr>
          <w:p w:rsidR="00223FC3" w:rsidRPr="002B3BD7" w:rsidRDefault="004460D8" w:rsidP="00C81E1D">
            <w:pPr>
              <w:pStyle w:val="Tabletext"/>
            </w:pPr>
            <w:hyperlink r:id="rId32" w:history="1">
              <w:r w:rsidR="00223FC3" w:rsidRPr="003B2D58">
                <w:rPr>
                  <w:rStyle w:val="Hyperlink"/>
                </w:rPr>
                <w:t>http://www.bt.cdc.gov/radiation/prenatalphysician.asp</w:t>
              </w:r>
            </w:hyperlink>
            <w:r w:rsidR="00223FC3">
              <w:t xml:space="preserve"> (fact sheet)</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483D58">
            <w:pPr>
              <w:pStyle w:val="Tabletext"/>
            </w:pPr>
            <w:r>
              <w:t xml:space="preserve">Acute Radiation Syndrome: A Fact Sheet for Clinicians </w:t>
            </w:r>
          </w:p>
        </w:tc>
        <w:tc>
          <w:tcPr>
            <w:tcW w:w="2983" w:type="dxa"/>
          </w:tcPr>
          <w:p w:rsidR="00223FC3" w:rsidRPr="002B3BD7" w:rsidRDefault="004460D8" w:rsidP="00C81E1D">
            <w:pPr>
              <w:pStyle w:val="Tabletext"/>
            </w:pPr>
            <w:hyperlink r:id="rId33" w:history="1">
              <w:r w:rsidR="00223FC3" w:rsidRPr="003B2D58">
                <w:rPr>
                  <w:rStyle w:val="Hyperlink"/>
                </w:rPr>
                <w:t>http://www.bt.cdc.gov/radiation/arsphysicianfactsheet.asp</w:t>
              </w:r>
            </w:hyperlink>
            <w:r w:rsidR="00223FC3">
              <w:t xml:space="preserve"> (fact sheet)</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C81E1D">
            <w:pPr>
              <w:pStyle w:val="Tabletext"/>
            </w:pPr>
            <w:proofErr w:type="spellStart"/>
            <w:r>
              <w:t>Cutaneous</w:t>
            </w:r>
            <w:proofErr w:type="spellEnd"/>
            <w:r>
              <w:t xml:space="preserve"> Radiation Injury</w:t>
            </w:r>
          </w:p>
        </w:tc>
        <w:tc>
          <w:tcPr>
            <w:tcW w:w="2983" w:type="dxa"/>
          </w:tcPr>
          <w:p w:rsidR="00223FC3" w:rsidRPr="002B3BD7" w:rsidRDefault="004460D8" w:rsidP="00C81E1D">
            <w:pPr>
              <w:pStyle w:val="Tabletext"/>
            </w:pPr>
            <w:hyperlink r:id="rId34" w:history="1">
              <w:r w:rsidR="00223FC3" w:rsidRPr="003B2D58">
                <w:rPr>
                  <w:rStyle w:val="Hyperlink"/>
                </w:rPr>
                <w:t>http://www.bt.cdc.gov/radiation/criphysicianfactsheet.asp</w:t>
              </w:r>
            </w:hyperlink>
            <w:r w:rsidR="00223FC3">
              <w:t xml:space="preserve"> (web page)</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Default="00223FC3" w:rsidP="00C81E1D">
            <w:pPr>
              <w:pStyle w:val="Tabletext"/>
            </w:pPr>
            <w:r>
              <w:t xml:space="preserve">Use of Radiation Detection, Measuring, and Imaging Instruments to Assess Internal Contamination from Intakes of </w:t>
            </w:r>
            <w:proofErr w:type="spellStart"/>
            <w:r>
              <w:t>Radionuclides</w:t>
            </w:r>
            <w:proofErr w:type="spellEnd"/>
          </w:p>
        </w:tc>
        <w:tc>
          <w:tcPr>
            <w:tcW w:w="2983" w:type="dxa"/>
          </w:tcPr>
          <w:p w:rsidR="00223FC3" w:rsidRDefault="004460D8" w:rsidP="00A43E5C">
            <w:pPr>
              <w:pStyle w:val="Tabletext"/>
            </w:pPr>
            <w:hyperlink r:id="rId35" w:history="1">
              <w:r w:rsidR="00223FC3" w:rsidRPr="003B2D58">
                <w:rPr>
                  <w:rStyle w:val="Hyperlink"/>
                </w:rPr>
                <w:t>http://www.bt.cdc.gov/radiation/clinicians/evaluation/</w:t>
              </w:r>
            </w:hyperlink>
            <w:r w:rsidR="00223FC3">
              <w:t xml:space="preserve"> (web page) </w:t>
            </w:r>
          </w:p>
        </w:tc>
      </w:tr>
      <w:tr w:rsidR="00223FC3" w:rsidRPr="00394D3A" w:rsidTr="008E196D">
        <w:trPr>
          <w:cantSplit/>
          <w:jc w:val="center"/>
        </w:trPr>
        <w:tc>
          <w:tcPr>
            <w:tcW w:w="2174" w:type="dxa"/>
            <w:vMerge w:val="restart"/>
          </w:tcPr>
          <w:p w:rsidR="00223FC3" w:rsidRPr="002B3BD7" w:rsidRDefault="00223FC3" w:rsidP="00EF3C3D">
            <w:pPr>
              <w:pStyle w:val="Tabletext"/>
            </w:pPr>
            <w:r>
              <w:t xml:space="preserve">Public Information </w:t>
            </w:r>
          </w:p>
        </w:tc>
        <w:tc>
          <w:tcPr>
            <w:tcW w:w="4230" w:type="dxa"/>
          </w:tcPr>
          <w:p w:rsidR="00223FC3" w:rsidRPr="002B3BD7" w:rsidRDefault="00223FC3" w:rsidP="005C707A">
            <w:pPr>
              <w:pStyle w:val="Tabletext"/>
            </w:pPr>
            <w:r>
              <w:t>Health Information for Specific Groups</w:t>
            </w:r>
          </w:p>
        </w:tc>
        <w:tc>
          <w:tcPr>
            <w:tcW w:w="2983" w:type="dxa"/>
          </w:tcPr>
          <w:p w:rsidR="00223FC3" w:rsidRPr="002B3BD7" w:rsidRDefault="004460D8" w:rsidP="00C81E1D">
            <w:pPr>
              <w:pStyle w:val="Tabletext"/>
            </w:pPr>
            <w:hyperlink r:id="rId36" w:history="1">
              <w:r w:rsidR="00223FC3" w:rsidRPr="003B2D58">
                <w:rPr>
                  <w:rStyle w:val="Hyperlink"/>
                </w:rPr>
                <w:t>http://www.bt.cdc.gov/radiation/prenatal.asp</w:t>
              </w:r>
            </w:hyperlink>
            <w:r w:rsidR="00223FC3">
              <w:t xml:space="preserve"> (web page)</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5C707A">
            <w:pPr>
              <w:pStyle w:val="Tabletext"/>
            </w:pPr>
            <w:r>
              <w:t>Radiation Emergencies and Pregnancy</w:t>
            </w:r>
          </w:p>
        </w:tc>
        <w:tc>
          <w:tcPr>
            <w:tcW w:w="2983" w:type="dxa"/>
          </w:tcPr>
          <w:p w:rsidR="00223FC3" w:rsidRPr="002B3BD7" w:rsidRDefault="004460D8" w:rsidP="00C81E1D">
            <w:pPr>
              <w:pStyle w:val="Tabletext"/>
            </w:pPr>
            <w:hyperlink r:id="rId37" w:history="1">
              <w:r w:rsidR="00223FC3" w:rsidRPr="003B2D58">
                <w:rPr>
                  <w:rStyle w:val="Hyperlink"/>
                </w:rPr>
                <w:t>http://www.bt.cdc.gov/radiation/pdf/infographic_radiation_and_pregnancy.pdf</w:t>
              </w:r>
            </w:hyperlink>
            <w:r w:rsidR="00223FC3">
              <w:t xml:space="preserve"> (fact sheet)</w:t>
            </w:r>
          </w:p>
        </w:tc>
      </w:tr>
      <w:tr w:rsidR="00223FC3" w:rsidRPr="00394D3A" w:rsidTr="008E196D">
        <w:trPr>
          <w:cantSplit/>
          <w:jc w:val="center"/>
        </w:trPr>
        <w:tc>
          <w:tcPr>
            <w:tcW w:w="2174" w:type="dxa"/>
            <w:vMerge/>
          </w:tcPr>
          <w:p w:rsidR="00223FC3" w:rsidRPr="002B3BD7" w:rsidRDefault="00223FC3" w:rsidP="00EF3C3D">
            <w:pPr>
              <w:pStyle w:val="Tabletext"/>
            </w:pPr>
          </w:p>
        </w:tc>
        <w:tc>
          <w:tcPr>
            <w:tcW w:w="4230" w:type="dxa"/>
          </w:tcPr>
          <w:p w:rsidR="00223FC3" w:rsidRPr="002B3BD7" w:rsidRDefault="00223FC3" w:rsidP="00C81E1D">
            <w:pPr>
              <w:pStyle w:val="Tabletext"/>
            </w:pPr>
            <w:r>
              <w:t>Radiation Contamination versus Exposure</w:t>
            </w:r>
          </w:p>
        </w:tc>
        <w:tc>
          <w:tcPr>
            <w:tcW w:w="2983" w:type="dxa"/>
          </w:tcPr>
          <w:p w:rsidR="00223FC3" w:rsidRPr="002B3BD7" w:rsidRDefault="004460D8" w:rsidP="00C81E1D">
            <w:pPr>
              <w:pStyle w:val="Tabletext"/>
            </w:pPr>
            <w:hyperlink r:id="rId38" w:history="1">
              <w:r w:rsidR="00223FC3" w:rsidRPr="003B2D58">
                <w:rPr>
                  <w:rStyle w:val="Hyperlink"/>
                </w:rPr>
                <w:t>http://www.bt.cdc.gov/radiation/pdf/infographic_contamination_versus_exposure.pdf</w:t>
              </w:r>
            </w:hyperlink>
            <w:r w:rsidR="00223FC3">
              <w:t xml:space="preserve"> (</w:t>
            </w:r>
            <w:proofErr w:type="spellStart"/>
            <w:r w:rsidR="00223FC3">
              <w:t>infographic</w:t>
            </w:r>
            <w:proofErr w:type="spellEnd"/>
            <w:r w:rsidR="00223FC3">
              <w:t xml:space="preserve">) </w:t>
            </w:r>
          </w:p>
        </w:tc>
      </w:tr>
      <w:tr w:rsidR="00223FC3" w:rsidRPr="00394D3A" w:rsidTr="008E196D">
        <w:trPr>
          <w:cantSplit/>
          <w:jc w:val="center"/>
        </w:trPr>
        <w:tc>
          <w:tcPr>
            <w:tcW w:w="2174" w:type="dxa"/>
            <w:vMerge/>
          </w:tcPr>
          <w:p w:rsidR="00223FC3" w:rsidRPr="002B3BD7" w:rsidRDefault="00223FC3" w:rsidP="008D6580">
            <w:pPr>
              <w:pStyle w:val="Tabletext"/>
            </w:pPr>
          </w:p>
        </w:tc>
        <w:tc>
          <w:tcPr>
            <w:tcW w:w="4230" w:type="dxa"/>
          </w:tcPr>
          <w:p w:rsidR="00223FC3" w:rsidRPr="002B3BD7" w:rsidRDefault="00223FC3" w:rsidP="00F875F0">
            <w:pPr>
              <w:pStyle w:val="Tabletext"/>
            </w:pPr>
            <w:r>
              <w:t>Radiation and Your Health</w:t>
            </w:r>
          </w:p>
        </w:tc>
        <w:tc>
          <w:tcPr>
            <w:tcW w:w="2983" w:type="dxa"/>
          </w:tcPr>
          <w:p w:rsidR="00223FC3" w:rsidRPr="002B3BD7" w:rsidRDefault="004460D8" w:rsidP="00C81E1D">
            <w:pPr>
              <w:pStyle w:val="Tabletext"/>
            </w:pPr>
            <w:hyperlink r:id="rId39" w:history="1">
              <w:r w:rsidR="00223FC3" w:rsidRPr="003B2D58">
                <w:rPr>
                  <w:rStyle w:val="Hyperlink"/>
                </w:rPr>
                <w:t>http://www.cdc.gov/nceh/radiation/</w:t>
              </w:r>
            </w:hyperlink>
            <w:r w:rsidR="00223FC3">
              <w:t xml:space="preserve"> (web page)</w:t>
            </w:r>
          </w:p>
        </w:tc>
      </w:tr>
    </w:tbl>
    <w:p w:rsidR="008D6580" w:rsidRDefault="008D6580" w:rsidP="002B3BD7">
      <w:pPr>
        <w:pStyle w:val="AppendixHeading"/>
      </w:pPr>
    </w:p>
    <w:sectPr w:rsidR="008D6580" w:rsidSect="00E57E00">
      <w:footerReference w:type="default" r:id="rId4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A3" w:rsidRDefault="00D67BA3" w:rsidP="00116D48">
      <w:r>
        <w:separator/>
      </w:r>
    </w:p>
  </w:endnote>
  <w:endnote w:type="continuationSeparator" w:id="0">
    <w:p w:rsidR="00D67BA3" w:rsidRDefault="00D67BA3" w:rsidP="0011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Pr="003A6618" w:rsidRDefault="003F3478" w:rsidP="003A6618">
    <w:pPr>
      <w:pStyle w:val="Header"/>
      <w:pBdr>
        <w:top w:val="single" w:sz="8" w:space="1" w:color="000080"/>
      </w:pBdr>
      <w:tabs>
        <w:tab w:val="center" w:pos="4680"/>
      </w:tabs>
      <w:rPr>
        <w:sz w:val="18"/>
        <w:szCs w:val="18"/>
      </w:rPr>
    </w:pPr>
    <w:r>
      <w:t xml:space="preserve">Preface </w:t>
    </w:r>
    <w:r w:rsidRPr="003536F2">
      <w:tab/>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0C6C14">
      <w:rPr>
        <w:rStyle w:val="PageNumber"/>
        <w:b w:val="0"/>
        <w:noProof/>
      </w:rPr>
      <w:t>i</w:t>
    </w:r>
    <w:r w:rsidR="004460D8" w:rsidRPr="003536F2">
      <w:rPr>
        <w:rStyle w:val="PageNumber"/>
        <w:b w:val="0"/>
      </w:rPr>
      <w:fldChar w:fldCharType="end"/>
    </w:r>
    <w:r w:rsidRPr="003536F2">
      <w:rPr>
        <w:rStyle w:val="PageNumber"/>
        <w:b w:val="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Pr="00CB5272" w:rsidRDefault="003F3478" w:rsidP="00CB5272">
    <w:pPr>
      <w:pStyle w:val="Header"/>
      <w:pBdr>
        <w:top w:val="single" w:sz="8" w:space="1" w:color="000080"/>
      </w:pBdr>
      <w:tabs>
        <w:tab w:val="center" w:pos="4680"/>
      </w:tabs>
      <w:rPr>
        <w:sz w:val="18"/>
        <w:szCs w:val="18"/>
      </w:rPr>
    </w:pPr>
    <w:r>
      <w:t>Contents</w:t>
    </w:r>
    <w:r w:rsidRPr="003536F2">
      <w:tab/>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0C6C14">
      <w:rPr>
        <w:rStyle w:val="PageNumber"/>
        <w:b w:val="0"/>
        <w:noProof/>
      </w:rPr>
      <w:t>ii</w:t>
    </w:r>
    <w:r w:rsidR="004460D8" w:rsidRPr="003536F2">
      <w:rPr>
        <w:rStyle w:val="PageNumber"/>
        <w:b w:val="0"/>
      </w:rPr>
      <w:fldChar w:fldCharType="end"/>
    </w:r>
    <w:r w:rsidRPr="003536F2">
      <w:rPr>
        <w:rStyle w:val="PageNumber"/>
        <w:b w:val="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D7" w:rsidRDefault="002B3BD7" w:rsidP="00DF1FE1">
    <w:pPr>
      <w:pStyle w:val="Header"/>
      <w:pBdr>
        <w:top w:val="single" w:sz="8" w:space="1" w:color="000080"/>
      </w:pBdr>
      <w:tabs>
        <w:tab w:val="center" w:pos="4680"/>
      </w:tabs>
      <w:rPr>
        <w:sz w:val="18"/>
        <w:szCs w:val="18"/>
      </w:rPr>
    </w:pPr>
    <w:r>
      <w:t>Toolkit Materials</w:t>
    </w:r>
    <w:r w:rsidRPr="003536F2">
      <w:tab/>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0C6C14">
      <w:rPr>
        <w:rStyle w:val="PageNumber"/>
        <w:b w:val="0"/>
        <w:noProof/>
      </w:rPr>
      <w:t>1</w:t>
    </w:r>
    <w:r w:rsidR="004460D8" w:rsidRPr="003536F2">
      <w:rPr>
        <w:rStyle w:val="PageNumber"/>
        <w:b w:val="0"/>
      </w:rPr>
      <w:fldChar w:fldCharType="end"/>
    </w:r>
    <w:r w:rsidRPr="003536F2">
      <w:rPr>
        <w:rStyle w:val="PageNumber"/>
        <w:b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Pr="00C87813" w:rsidRDefault="003F3478" w:rsidP="00C87813">
    <w:pPr>
      <w:pStyle w:val="Header"/>
      <w:pBdr>
        <w:top w:val="single" w:sz="8" w:space="1" w:color="000080"/>
      </w:pBdr>
      <w:tabs>
        <w:tab w:val="center" w:pos="4680"/>
      </w:tabs>
      <w:rPr>
        <w:b w:val="0"/>
        <w:smallCaps/>
        <w:sz w:val="18"/>
        <w:szCs w:val="18"/>
      </w:rPr>
    </w:pPr>
    <w:r>
      <w:t>Introduction</w:t>
    </w:r>
    <w:r w:rsidRPr="003536F2">
      <w:rPr>
        <w:b w:val="0"/>
      </w:rPr>
      <w:tab/>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0C6C14">
      <w:rPr>
        <w:rStyle w:val="PageNumber"/>
        <w:b w:val="0"/>
        <w:noProof/>
      </w:rPr>
      <w:t>2</w:t>
    </w:r>
    <w:r w:rsidR="004460D8" w:rsidRPr="003536F2">
      <w:rPr>
        <w:rStyle w:val="PageNumber"/>
        <w:b w:val="0"/>
      </w:rPr>
      <w:fldChar w:fldCharType="end"/>
    </w:r>
    <w:r w:rsidRPr="003536F2">
      <w:rPr>
        <w:rStyle w:val="PageNumber"/>
        <w:b w:val="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3F3478" w:rsidP="00C87813">
    <w:pPr>
      <w:pStyle w:val="Header"/>
      <w:pBdr>
        <w:top w:val="single" w:sz="8" w:space="1" w:color="000080"/>
      </w:pBdr>
      <w:tabs>
        <w:tab w:val="center" w:pos="4680"/>
      </w:tabs>
      <w:rPr>
        <w:sz w:val="18"/>
        <w:szCs w:val="18"/>
      </w:rPr>
    </w:pPr>
    <w:r>
      <w:t xml:space="preserve">Drill Design and </w:t>
    </w:r>
    <w:r w:rsidR="00E8168A">
      <w:t>Development</w:t>
    </w:r>
    <w:r w:rsidRPr="003536F2">
      <w:rPr>
        <w:b w:val="0"/>
      </w:rPr>
      <w:tab/>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0C6C14">
      <w:rPr>
        <w:rStyle w:val="PageNumber"/>
        <w:b w:val="0"/>
        <w:noProof/>
      </w:rPr>
      <w:t>3</w:t>
    </w:r>
    <w:r w:rsidR="004460D8" w:rsidRPr="003536F2">
      <w:rPr>
        <w:rStyle w:val="PageNumber"/>
        <w:b w:val="0"/>
      </w:rPr>
      <w:fldChar w:fldCharType="end"/>
    </w:r>
    <w:r w:rsidRPr="003536F2">
      <w:rPr>
        <w:rStyle w:val="PageNumber"/>
        <w:b w:val="0"/>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E8168A" w:rsidP="00C87813">
    <w:pPr>
      <w:pStyle w:val="Header"/>
      <w:pBdr>
        <w:top w:val="single" w:sz="8" w:space="1" w:color="000080"/>
      </w:pBdr>
      <w:tabs>
        <w:tab w:val="center" w:pos="4680"/>
      </w:tabs>
      <w:rPr>
        <w:sz w:val="18"/>
        <w:szCs w:val="18"/>
      </w:rPr>
    </w:pPr>
    <w:r>
      <w:t>Drill Conduct</w:t>
    </w:r>
    <w:r w:rsidR="003F3478">
      <w:t xml:space="preserve"> </w:t>
    </w:r>
    <w:r w:rsidR="003F3478" w:rsidRPr="003536F2">
      <w:tab/>
    </w:r>
    <w:r w:rsidR="004460D8" w:rsidRPr="003536F2">
      <w:rPr>
        <w:rStyle w:val="PageNumber"/>
        <w:b w:val="0"/>
      </w:rPr>
      <w:fldChar w:fldCharType="begin"/>
    </w:r>
    <w:r w:rsidR="003F3478" w:rsidRPr="003536F2">
      <w:rPr>
        <w:rStyle w:val="PageNumber"/>
        <w:b w:val="0"/>
      </w:rPr>
      <w:instrText xml:space="preserve"> PAGE </w:instrText>
    </w:r>
    <w:r w:rsidR="004460D8" w:rsidRPr="003536F2">
      <w:rPr>
        <w:rStyle w:val="PageNumber"/>
        <w:b w:val="0"/>
      </w:rPr>
      <w:fldChar w:fldCharType="separate"/>
    </w:r>
    <w:r w:rsidR="007F5807">
      <w:rPr>
        <w:rStyle w:val="PageNumber"/>
        <w:b w:val="0"/>
        <w:noProof/>
      </w:rPr>
      <w:t>6</w:t>
    </w:r>
    <w:r w:rsidR="004460D8" w:rsidRPr="003536F2">
      <w:rPr>
        <w:rStyle w:val="PageNumber"/>
        <w:b w:val="0"/>
      </w:rPr>
      <w:fldChar w:fldCharType="end"/>
    </w:r>
    <w:r w:rsidR="003F3478" w:rsidRPr="003536F2">
      <w:rPr>
        <w:rStyle w:val="PageNumber"/>
        <w:b w:val="0"/>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DB12E4" w:rsidP="00C87813">
    <w:pPr>
      <w:pStyle w:val="Header"/>
      <w:pBdr>
        <w:top w:val="single" w:sz="8" w:space="1" w:color="000080"/>
      </w:pBdr>
      <w:tabs>
        <w:tab w:val="center" w:pos="4680"/>
      </w:tabs>
      <w:rPr>
        <w:sz w:val="18"/>
        <w:szCs w:val="18"/>
      </w:rPr>
    </w:pPr>
    <w:r>
      <w:t>Drill Evaluation</w:t>
    </w:r>
    <w:r w:rsidR="003F3478" w:rsidRPr="000B42A5">
      <w:tab/>
    </w:r>
    <w:r w:rsidR="004460D8" w:rsidRPr="002211B9">
      <w:rPr>
        <w:rStyle w:val="PageNumber"/>
        <w:b w:val="0"/>
      </w:rPr>
      <w:fldChar w:fldCharType="begin"/>
    </w:r>
    <w:r w:rsidR="003F3478" w:rsidRPr="002211B9">
      <w:rPr>
        <w:rStyle w:val="PageNumber"/>
        <w:b w:val="0"/>
      </w:rPr>
      <w:instrText xml:space="preserve"> PAGE </w:instrText>
    </w:r>
    <w:r w:rsidR="004460D8" w:rsidRPr="002211B9">
      <w:rPr>
        <w:rStyle w:val="PageNumber"/>
        <w:b w:val="0"/>
      </w:rPr>
      <w:fldChar w:fldCharType="separate"/>
    </w:r>
    <w:r w:rsidR="007F5807">
      <w:rPr>
        <w:rStyle w:val="PageNumber"/>
        <w:b w:val="0"/>
        <w:noProof/>
      </w:rPr>
      <w:t>8</w:t>
    </w:r>
    <w:r w:rsidR="004460D8" w:rsidRPr="002211B9">
      <w:rPr>
        <w:rStyle w:val="PageNumber"/>
        <w:b w:val="0"/>
      </w:rPr>
      <w:fldChar w:fldCharType="end"/>
    </w:r>
    <w:r w:rsidR="003F3478" w:rsidRPr="000B42A5">
      <w:rPr>
        <w:rStyle w:val="PageNumber"/>
        <w:b w:val="0"/>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3F3478" w:rsidP="002B3BD7">
    <w:pPr>
      <w:pStyle w:val="Header"/>
      <w:pBdr>
        <w:top w:val="single" w:sz="8" w:space="1" w:color="000080"/>
      </w:pBdr>
      <w:tabs>
        <w:tab w:val="center" w:pos="4680"/>
      </w:tabs>
    </w:pPr>
    <w:r>
      <w:t xml:space="preserve">Appendix </w:t>
    </w:r>
    <w:r w:rsidR="002B3BD7">
      <w:t>A</w:t>
    </w:r>
    <w:r>
      <w:t xml:space="preserve">:  </w:t>
    </w:r>
    <w:r w:rsidR="002B3BD7">
      <w:t>For Further Information</w:t>
    </w:r>
    <w:r w:rsidRPr="003536F2">
      <w:rPr>
        <w:b w:val="0"/>
      </w:rPr>
      <w:tab/>
    </w:r>
    <w:r w:rsidR="002B3BD7">
      <w:rPr>
        <w:b w:val="0"/>
      </w:rPr>
      <w:t>A</w:t>
    </w:r>
    <w:r>
      <w:rPr>
        <w:b w:val="0"/>
      </w:rPr>
      <w:t>-</w:t>
    </w:r>
    <w:r w:rsidR="004460D8" w:rsidRPr="003536F2">
      <w:rPr>
        <w:rStyle w:val="PageNumber"/>
        <w:b w:val="0"/>
      </w:rPr>
      <w:fldChar w:fldCharType="begin"/>
    </w:r>
    <w:r w:rsidRPr="003536F2">
      <w:rPr>
        <w:rStyle w:val="PageNumber"/>
        <w:b w:val="0"/>
      </w:rPr>
      <w:instrText xml:space="preserve"> PAGE </w:instrText>
    </w:r>
    <w:r w:rsidR="004460D8" w:rsidRPr="003536F2">
      <w:rPr>
        <w:rStyle w:val="PageNumber"/>
        <w:b w:val="0"/>
      </w:rPr>
      <w:fldChar w:fldCharType="separate"/>
    </w:r>
    <w:r w:rsidR="007F5807">
      <w:rPr>
        <w:rStyle w:val="PageNumber"/>
        <w:b w:val="0"/>
        <w:noProof/>
      </w:rPr>
      <w:t>2</w:t>
    </w:r>
    <w:r w:rsidR="004460D8" w:rsidRPr="003536F2">
      <w:rPr>
        <w:rStyle w:val="PageNumbe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A3" w:rsidRDefault="00D67BA3" w:rsidP="00116D48">
      <w:r>
        <w:separator/>
      </w:r>
    </w:p>
  </w:footnote>
  <w:footnote w:type="continuationSeparator" w:id="0">
    <w:p w:rsidR="00D67BA3" w:rsidRDefault="00D67BA3" w:rsidP="0011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3F3478" w:rsidP="003A221E">
    <w:pPr>
      <w:pStyle w:val="Header"/>
      <w:pBdr>
        <w:bottom w:val="single" w:sz="4" w:space="0" w:color="000080"/>
      </w:pBdr>
      <w:spacing w:after="120"/>
    </w:pPr>
    <w:r>
      <w:t>CRC Drill Toolkit</w:t>
    </w:r>
    <w:r>
      <w:tab/>
      <w:t>Instructions for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78" w:rsidRDefault="003F34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060EB69C"/>
    <w:lvl w:ilvl="0">
      <w:start w:val="1"/>
      <w:numFmt w:val="bullet"/>
      <w:pStyle w:val="ListBullet"/>
      <w:lvlText w:val=""/>
      <w:lvlJc w:val="left"/>
      <w:pPr>
        <w:tabs>
          <w:tab w:val="num" w:pos="720"/>
        </w:tabs>
        <w:ind w:left="720" w:hanging="360"/>
      </w:pPr>
      <w:rPr>
        <w:rFonts w:ascii="Symbol" w:hAnsi="Symbol" w:hint="default"/>
        <w:color w:val="1F497D"/>
      </w:rPr>
    </w:lvl>
  </w:abstractNum>
  <w:abstractNum w:abstractNumId="2">
    <w:nsid w:val="065A6D5F"/>
    <w:multiLevelType w:val="hybridMultilevel"/>
    <w:tmpl w:val="5C441D50"/>
    <w:lvl w:ilvl="0" w:tplc="A7F605AA">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72A97"/>
    <w:multiLevelType w:val="hybridMultilevel"/>
    <w:tmpl w:val="93EADFC4"/>
    <w:lvl w:ilvl="0" w:tplc="A21A282C">
      <w:start w:val="1"/>
      <w:numFmt w:val="bullet"/>
      <w:lvlText w:val=""/>
      <w:lvlJc w:val="left"/>
      <w:pPr>
        <w:ind w:left="720" w:hanging="360"/>
      </w:pPr>
      <w:rPr>
        <w:rFonts w:ascii="Symbol" w:hAnsi="Symbol" w:hint="default"/>
        <w:color w:val="1F497D" w:themeColor="text2"/>
      </w:rPr>
    </w:lvl>
    <w:lvl w:ilvl="1" w:tplc="E2A0A1A8">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42DBF"/>
    <w:multiLevelType w:val="hybridMultilevel"/>
    <w:tmpl w:val="4322C4C8"/>
    <w:lvl w:ilvl="0" w:tplc="04090001">
      <w:start w:val="1"/>
      <w:numFmt w:val="bullet"/>
      <w:lvlText w:val=""/>
      <w:lvlJc w:val="left"/>
      <w:pPr>
        <w:ind w:left="720" w:hanging="360"/>
      </w:pPr>
      <w:rPr>
        <w:rFonts w:ascii="Symbol" w:hAnsi="Symbol" w:hint="default"/>
      </w:rPr>
    </w:lvl>
    <w:lvl w:ilvl="1" w:tplc="E9EC9EF0">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873FA"/>
    <w:multiLevelType w:val="hybridMultilevel"/>
    <w:tmpl w:val="8C9CB98A"/>
    <w:lvl w:ilvl="0" w:tplc="04090001">
      <w:start w:val="1"/>
      <w:numFmt w:val="bullet"/>
      <w:lvlText w:val=""/>
      <w:lvlJc w:val="left"/>
      <w:pPr>
        <w:ind w:left="720" w:hanging="360"/>
      </w:pPr>
      <w:rPr>
        <w:rFonts w:ascii="Symbol" w:hAnsi="Symbol" w:hint="default"/>
      </w:rPr>
    </w:lvl>
    <w:lvl w:ilvl="1" w:tplc="6F020EC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420C5"/>
    <w:multiLevelType w:val="hybridMultilevel"/>
    <w:tmpl w:val="5BECD6E8"/>
    <w:lvl w:ilvl="0" w:tplc="D3F27984">
      <w:start w:val="1"/>
      <w:numFmt w:val="bullet"/>
      <w:lvlText w:val=""/>
      <w:lvlJc w:val="left"/>
      <w:pPr>
        <w:ind w:left="720" w:hanging="360"/>
      </w:pPr>
      <w:rPr>
        <w:rFonts w:ascii="Symbol" w:hAnsi="Symbol" w:hint="default"/>
        <w:color w:val="1F497D" w:themeColor="text2"/>
      </w:rPr>
    </w:lvl>
    <w:lvl w:ilvl="1" w:tplc="2DDCAA6A">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D6FA8"/>
    <w:multiLevelType w:val="hybridMultilevel"/>
    <w:tmpl w:val="4E2A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75377"/>
    <w:multiLevelType w:val="hybridMultilevel"/>
    <w:tmpl w:val="9FA85B48"/>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A5718"/>
    <w:multiLevelType w:val="hybridMultilevel"/>
    <w:tmpl w:val="93825776"/>
    <w:lvl w:ilvl="0" w:tplc="04090001">
      <w:start w:val="1"/>
      <w:numFmt w:val="bullet"/>
      <w:lvlText w:val=""/>
      <w:lvlJc w:val="left"/>
      <w:pPr>
        <w:ind w:left="720" w:hanging="360"/>
      </w:pPr>
      <w:rPr>
        <w:rFonts w:ascii="Symbol" w:hAnsi="Symbol" w:hint="default"/>
      </w:rPr>
    </w:lvl>
    <w:lvl w:ilvl="1" w:tplc="CC0C990E">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D8962DC"/>
    <w:multiLevelType w:val="hybridMultilevel"/>
    <w:tmpl w:val="9D1A740E"/>
    <w:lvl w:ilvl="0" w:tplc="C844520A">
      <w:start w:val="1"/>
      <w:numFmt w:val="bullet"/>
      <w:lvlText w:val=""/>
      <w:lvlJc w:val="left"/>
      <w:pPr>
        <w:ind w:left="720" w:hanging="360"/>
      </w:pPr>
      <w:rPr>
        <w:rFonts w:ascii="Symbol" w:hAnsi="Symbol" w:hint="default"/>
        <w:color w:val="1F497D" w:themeColor="text2"/>
      </w:rPr>
    </w:lvl>
    <w:lvl w:ilvl="1" w:tplc="E11A46B4">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DC291A"/>
    <w:multiLevelType w:val="hybridMultilevel"/>
    <w:tmpl w:val="1FAA09EC"/>
    <w:lvl w:ilvl="0" w:tplc="0A6E5C6C">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94514"/>
    <w:multiLevelType w:val="hybridMultilevel"/>
    <w:tmpl w:val="18F61B12"/>
    <w:lvl w:ilvl="0" w:tplc="DE342020">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E642E2"/>
    <w:multiLevelType w:val="hybridMultilevel"/>
    <w:tmpl w:val="500408C6"/>
    <w:lvl w:ilvl="0" w:tplc="EE0CDE3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870DC0"/>
    <w:multiLevelType w:val="hybridMultilevel"/>
    <w:tmpl w:val="FCB407C0"/>
    <w:lvl w:ilvl="0" w:tplc="A7F605AA">
      <w:start w:val="1"/>
      <w:numFmt w:val="bullet"/>
      <w:lvlText w:val=""/>
      <w:lvlJc w:val="left"/>
      <w:pPr>
        <w:ind w:left="720" w:hanging="360"/>
      </w:pPr>
      <w:rPr>
        <w:rFonts w:ascii="Symbol" w:hAnsi="Symbol" w:hint="default"/>
        <w:color w:val="1F497D"/>
      </w:rPr>
    </w:lvl>
    <w:lvl w:ilvl="1" w:tplc="983CD98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507F4"/>
    <w:multiLevelType w:val="hybridMultilevel"/>
    <w:tmpl w:val="463CF4E0"/>
    <w:lvl w:ilvl="0" w:tplc="04090001">
      <w:start w:val="1"/>
      <w:numFmt w:val="bullet"/>
      <w:lvlText w:val=""/>
      <w:lvlJc w:val="left"/>
      <w:pPr>
        <w:ind w:left="720" w:hanging="360"/>
      </w:pPr>
      <w:rPr>
        <w:rFonts w:ascii="Symbol" w:hAnsi="Symbol" w:hint="default"/>
      </w:rPr>
    </w:lvl>
    <w:lvl w:ilvl="1" w:tplc="DD78C794">
      <w:start w:val="1"/>
      <w:numFmt w:val="bullet"/>
      <w:lvlText w:val=""/>
      <w:lvlJc w:val="left"/>
      <w:pPr>
        <w:ind w:left="1440" w:hanging="360"/>
      </w:pPr>
      <w:rPr>
        <w:rFonts w:ascii="Symbol" w:hAnsi="Symbol" w:hint="default"/>
        <w:color w:val="1F497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0"/>
  </w:num>
  <w:num w:numId="6">
    <w:abstractNumId w:val="15"/>
  </w:num>
  <w:num w:numId="7">
    <w:abstractNumId w:val="16"/>
  </w:num>
  <w:num w:numId="8">
    <w:abstractNumId w:val="3"/>
  </w:num>
  <w:num w:numId="9">
    <w:abstractNumId w:val="14"/>
  </w:num>
  <w:num w:numId="10">
    <w:abstractNumId w:val="6"/>
  </w:num>
  <w:num w:numId="11">
    <w:abstractNumId w:val="12"/>
  </w:num>
  <w:num w:numId="12">
    <w:abstractNumId w:val="17"/>
  </w:num>
  <w:num w:numId="13">
    <w:abstractNumId w:val="4"/>
  </w:num>
  <w:num w:numId="14">
    <w:abstractNumId w:val="9"/>
  </w:num>
  <w:num w:numId="15">
    <w:abstractNumId w:val="5"/>
  </w:num>
  <w:num w:numId="16">
    <w:abstractNumId w:val="18"/>
  </w:num>
  <w:num w:numId="17">
    <w:abstractNumId w:val="2"/>
  </w:num>
  <w:num w:numId="18">
    <w:abstractNumId w:val="7"/>
  </w:num>
  <w:num w:numId="19">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66914">
      <o:colormenu v:ext="edit" strokecolor="#00b050"/>
    </o:shapedefaults>
  </w:hdrShapeDefaults>
  <w:footnotePr>
    <w:footnote w:id="-1"/>
    <w:footnote w:id="0"/>
  </w:footnotePr>
  <w:endnotePr>
    <w:endnote w:id="-1"/>
    <w:endnote w:id="0"/>
  </w:endnotePr>
  <w:compat/>
  <w:rsids>
    <w:rsidRoot w:val="00116D48"/>
    <w:rsid w:val="00011F2A"/>
    <w:rsid w:val="00020476"/>
    <w:rsid w:val="0003069C"/>
    <w:rsid w:val="00033916"/>
    <w:rsid w:val="00035002"/>
    <w:rsid w:val="0004441B"/>
    <w:rsid w:val="000558C0"/>
    <w:rsid w:val="000563D7"/>
    <w:rsid w:val="0006298D"/>
    <w:rsid w:val="0006509F"/>
    <w:rsid w:val="00081141"/>
    <w:rsid w:val="000850FB"/>
    <w:rsid w:val="000866B9"/>
    <w:rsid w:val="000921C0"/>
    <w:rsid w:val="00093AC2"/>
    <w:rsid w:val="000A6B8D"/>
    <w:rsid w:val="000B205E"/>
    <w:rsid w:val="000B2C55"/>
    <w:rsid w:val="000B77E3"/>
    <w:rsid w:val="000B7A9A"/>
    <w:rsid w:val="000C06C1"/>
    <w:rsid w:val="000C0C08"/>
    <w:rsid w:val="000C2296"/>
    <w:rsid w:val="000C5026"/>
    <w:rsid w:val="000C6C14"/>
    <w:rsid w:val="000D418E"/>
    <w:rsid w:val="000D6E78"/>
    <w:rsid w:val="000D7FD7"/>
    <w:rsid w:val="000E32A6"/>
    <w:rsid w:val="000E5C1B"/>
    <w:rsid w:val="000F2782"/>
    <w:rsid w:val="000F3EBA"/>
    <w:rsid w:val="000F7B18"/>
    <w:rsid w:val="00100D59"/>
    <w:rsid w:val="001038E6"/>
    <w:rsid w:val="00107D84"/>
    <w:rsid w:val="0011079C"/>
    <w:rsid w:val="00115EAB"/>
    <w:rsid w:val="00116D48"/>
    <w:rsid w:val="00126A4C"/>
    <w:rsid w:val="00134781"/>
    <w:rsid w:val="00142832"/>
    <w:rsid w:val="00144D60"/>
    <w:rsid w:val="00147D22"/>
    <w:rsid w:val="001623DD"/>
    <w:rsid w:val="001655DA"/>
    <w:rsid w:val="00167858"/>
    <w:rsid w:val="0017062F"/>
    <w:rsid w:val="001707F7"/>
    <w:rsid w:val="00176D18"/>
    <w:rsid w:val="00177955"/>
    <w:rsid w:val="001859DE"/>
    <w:rsid w:val="001911FE"/>
    <w:rsid w:val="001963C3"/>
    <w:rsid w:val="001A6815"/>
    <w:rsid w:val="001B3551"/>
    <w:rsid w:val="001B4473"/>
    <w:rsid w:val="001B48E8"/>
    <w:rsid w:val="001B5824"/>
    <w:rsid w:val="001B71A4"/>
    <w:rsid w:val="001C6978"/>
    <w:rsid w:val="001D4ECD"/>
    <w:rsid w:val="001D5B88"/>
    <w:rsid w:val="001E12FA"/>
    <w:rsid w:val="001E38D7"/>
    <w:rsid w:val="001F0045"/>
    <w:rsid w:val="001F71A0"/>
    <w:rsid w:val="001F7569"/>
    <w:rsid w:val="00204EAB"/>
    <w:rsid w:val="00206A20"/>
    <w:rsid w:val="00210537"/>
    <w:rsid w:val="00212E69"/>
    <w:rsid w:val="00223FC3"/>
    <w:rsid w:val="00230C36"/>
    <w:rsid w:val="002356C3"/>
    <w:rsid w:val="0024424A"/>
    <w:rsid w:val="00257505"/>
    <w:rsid w:val="00272FF2"/>
    <w:rsid w:val="002854F6"/>
    <w:rsid w:val="0028671D"/>
    <w:rsid w:val="00295C29"/>
    <w:rsid w:val="002A0096"/>
    <w:rsid w:val="002A1512"/>
    <w:rsid w:val="002A2544"/>
    <w:rsid w:val="002A2910"/>
    <w:rsid w:val="002A5556"/>
    <w:rsid w:val="002A5A3D"/>
    <w:rsid w:val="002A5D80"/>
    <w:rsid w:val="002B2631"/>
    <w:rsid w:val="002B3BD7"/>
    <w:rsid w:val="002B3E1C"/>
    <w:rsid w:val="002B4C60"/>
    <w:rsid w:val="002B4F51"/>
    <w:rsid w:val="002C313F"/>
    <w:rsid w:val="002D13B0"/>
    <w:rsid w:val="002D24E3"/>
    <w:rsid w:val="002D331B"/>
    <w:rsid w:val="002D792C"/>
    <w:rsid w:val="002E69B6"/>
    <w:rsid w:val="002F28FA"/>
    <w:rsid w:val="002F6C55"/>
    <w:rsid w:val="00300313"/>
    <w:rsid w:val="00312847"/>
    <w:rsid w:val="0031409A"/>
    <w:rsid w:val="0031563A"/>
    <w:rsid w:val="00327029"/>
    <w:rsid w:val="003369C3"/>
    <w:rsid w:val="0034426A"/>
    <w:rsid w:val="00350C1E"/>
    <w:rsid w:val="00353EF9"/>
    <w:rsid w:val="00360A30"/>
    <w:rsid w:val="003662F5"/>
    <w:rsid w:val="003707C6"/>
    <w:rsid w:val="00372218"/>
    <w:rsid w:val="003757DC"/>
    <w:rsid w:val="003760B7"/>
    <w:rsid w:val="00376400"/>
    <w:rsid w:val="003844AE"/>
    <w:rsid w:val="00384D89"/>
    <w:rsid w:val="00386913"/>
    <w:rsid w:val="003A221E"/>
    <w:rsid w:val="003A47C1"/>
    <w:rsid w:val="003A6618"/>
    <w:rsid w:val="003A7002"/>
    <w:rsid w:val="003B5587"/>
    <w:rsid w:val="003B69BE"/>
    <w:rsid w:val="003D2274"/>
    <w:rsid w:val="003D2E0C"/>
    <w:rsid w:val="003E2938"/>
    <w:rsid w:val="003F3478"/>
    <w:rsid w:val="0040190F"/>
    <w:rsid w:val="004109FB"/>
    <w:rsid w:val="00416F2C"/>
    <w:rsid w:val="004206FC"/>
    <w:rsid w:val="004265ED"/>
    <w:rsid w:val="00426ADB"/>
    <w:rsid w:val="0043139D"/>
    <w:rsid w:val="004460D8"/>
    <w:rsid w:val="0044763F"/>
    <w:rsid w:val="00452717"/>
    <w:rsid w:val="00454188"/>
    <w:rsid w:val="00455048"/>
    <w:rsid w:val="00460A13"/>
    <w:rsid w:val="00481492"/>
    <w:rsid w:val="00483D58"/>
    <w:rsid w:val="00490651"/>
    <w:rsid w:val="0049639C"/>
    <w:rsid w:val="004A7377"/>
    <w:rsid w:val="004B023A"/>
    <w:rsid w:val="004B7D16"/>
    <w:rsid w:val="004C0BCE"/>
    <w:rsid w:val="004C2E65"/>
    <w:rsid w:val="004C7E92"/>
    <w:rsid w:val="004D4ECD"/>
    <w:rsid w:val="004D673D"/>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514E9"/>
    <w:rsid w:val="0057272B"/>
    <w:rsid w:val="00576061"/>
    <w:rsid w:val="0058299C"/>
    <w:rsid w:val="005858F2"/>
    <w:rsid w:val="00596EB0"/>
    <w:rsid w:val="005B4A7E"/>
    <w:rsid w:val="005B6114"/>
    <w:rsid w:val="005C707A"/>
    <w:rsid w:val="005D3002"/>
    <w:rsid w:val="005D4197"/>
    <w:rsid w:val="005E743D"/>
    <w:rsid w:val="005F0167"/>
    <w:rsid w:val="005F1D50"/>
    <w:rsid w:val="005F4E4A"/>
    <w:rsid w:val="00614F57"/>
    <w:rsid w:val="00616744"/>
    <w:rsid w:val="00624786"/>
    <w:rsid w:val="0062551D"/>
    <w:rsid w:val="00640C02"/>
    <w:rsid w:val="00650C46"/>
    <w:rsid w:val="0065212B"/>
    <w:rsid w:val="00652337"/>
    <w:rsid w:val="00652A8F"/>
    <w:rsid w:val="00657735"/>
    <w:rsid w:val="0066321C"/>
    <w:rsid w:val="00682182"/>
    <w:rsid w:val="00691479"/>
    <w:rsid w:val="0069503E"/>
    <w:rsid w:val="00697585"/>
    <w:rsid w:val="006A1B9D"/>
    <w:rsid w:val="006A52E5"/>
    <w:rsid w:val="006B77D2"/>
    <w:rsid w:val="006E2308"/>
    <w:rsid w:val="006E6BD6"/>
    <w:rsid w:val="006F3247"/>
    <w:rsid w:val="00701D12"/>
    <w:rsid w:val="00705913"/>
    <w:rsid w:val="00711DE9"/>
    <w:rsid w:val="00723A64"/>
    <w:rsid w:val="007276C0"/>
    <w:rsid w:val="007301EF"/>
    <w:rsid w:val="0073363E"/>
    <w:rsid w:val="0073549B"/>
    <w:rsid w:val="00742680"/>
    <w:rsid w:val="00761AB5"/>
    <w:rsid w:val="00762875"/>
    <w:rsid w:val="00764341"/>
    <w:rsid w:val="00764D90"/>
    <w:rsid w:val="00790B7B"/>
    <w:rsid w:val="007A0C0B"/>
    <w:rsid w:val="007A32B1"/>
    <w:rsid w:val="007B03B5"/>
    <w:rsid w:val="007B0F38"/>
    <w:rsid w:val="007B28FD"/>
    <w:rsid w:val="007D1B40"/>
    <w:rsid w:val="007D3A14"/>
    <w:rsid w:val="007E6432"/>
    <w:rsid w:val="007E7D85"/>
    <w:rsid w:val="007F061B"/>
    <w:rsid w:val="007F1A17"/>
    <w:rsid w:val="007F1F0F"/>
    <w:rsid w:val="007F439D"/>
    <w:rsid w:val="007F5807"/>
    <w:rsid w:val="007F5968"/>
    <w:rsid w:val="008031B4"/>
    <w:rsid w:val="008047EC"/>
    <w:rsid w:val="008218DC"/>
    <w:rsid w:val="008224C5"/>
    <w:rsid w:val="00823017"/>
    <w:rsid w:val="0082579C"/>
    <w:rsid w:val="008308AF"/>
    <w:rsid w:val="008316C6"/>
    <w:rsid w:val="00847095"/>
    <w:rsid w:val="00850DD5"/>
    <w:rsid w:val="00856650"/>
    <w:rsid w:val="00861782"/>
    <w:rsid w:val="00864821"/>
    <w:rsid w:val="00874FD7"/>
    <w:rsid w:val="0088027D"/>
    <w:rsid w:val="00891545"/>
    <w:rsid w:val="0089158E"/>
    <w:rsid w:val="00893FBE"/>
    <w:rsid w:val="00894B9E"/>
    <w:rsid w:val="008A1C0B"/>
    <w:rsid w:val="008A2B21"/>
    <w:rsid w:val="008A36CA"/>
    <w:rsid w:val="008A3B59"/>
    <w:rsid w:val="008B4A88"/>
    <w:rsid w:val="008B6D79"/>
    <w:rsid w:val="008B6E80"/>
    <w:rsid w:val="008C1D8F"/>
    <w:rsid w:val="008C434E"/>
    <w:rsid w:val="008C6243"/>
    <w:rsid w:val="008D2B13"/>
    <w:rsid w:val="008D3F68"/>
    <w:rsid w:val="008D6580"/>
    <w:rsid w:val="008E196D"/>
    <w:rsid w:val="008E4F18"/>
    <w:rsid w:val="008E6C03"/>
    <w:rsid w:val="008E7380"/>
    <w:rsid w:val="008E7B64"/>
    <w:rsid w:val="008F54C3"/>
    <w:rsid w:val="00901E5F"/>
    <w:rsid w:val="0091090D"/>
    <w:rsid w:val="009249A6"/>
    <w:rsid w:val="00925171"/>
    <w:rsid w:val="00926D13"/>
    <w:rsid w:val="00931A43"/>
    <w:rsid w:val="009367FB"/>
    <w:rsid w:val="009434EB"/>
    <w:rsid w:val="00945F0F"/>
    <w:rsid w:val="009537A1"/>
    <w:rsid w:val="00954941"/>
    <w:rsid w:val="00967256"/>
    <w:rsid w:val="009853A2"/>
    <w:rsid w:val="009866B5"/>
    <w:rsid w:val="00986CBF"/>
    <w:rsid w:val="009947AE"/>
    <w:rsid w:val="00996B02"/>
    <w:rsid w:val="00996EAC"/>
    <w:rsid w:val="009A603F"/>
    <w:rsid w:val="009A7E5B"/>
    <w:rsid w:val="009B4B26"/>
    <w:rsid w:val="009C3D12"/>
    <w:rsid w:val="009D11D2"/>
    <w:rsid w:val="009D47CD"/>
    <w:rsid w:val="009D6E59"/>
    <w:rsid w:val="009E0644"/>
    <w:rsid w:val="009E09D2"/>
    <w:rsid w:val="009E4097"/>
    <w:rsid w:val="00A002A3"/>
    <w:rsid w:val="00A033A3"/>
    <w:rsid w:val="00A103D8"/>
    <w:rsid w:val="00A142FA"/>
    <w:rsid w:val="00A22E6D"/>
    <w:rsid w:val="00A2751E"/>
    <w:rsid w:val="00A343A4"/>
    <w:rsid w:val="00A3505C"/>
    <w:rsid w:val="00A43A33"/>
    <w:rsid w:val="00A43D18"/>
    <w:rsid w:val="00A43E5C"/>
    <w:rsid w:val="00A4611C"/>
    <w:rsid w:val="00A51EA7"/>
    <w:rsid w:val="00A51FAB"/>
    <w:rsid w:val="00A55121"/>
    <w:rsid w:val="00A74951"/>
    <w:rsid w:val="00A75BCA"/>
    <w:rsid w:val="00A75CDD"/>
    <w:rsid w:val="00A83003"/>
    <w:rsid w:val="00A84281"/>
    <w:rsid w:val="00A8612B"/>
    <w:rsid w:val="00A869D1"/>
    <w:rsid w:val="00A86AD8"/>
    <w:rsid w:val="00A8708E"/>
    <w:rsid w:val="00A90A2B"/>
    <w:rsid w:val="00A930AC"/>
    <w:rsid w:val="00A96C03"/>
    <w:rsid w:val="00AA4135"/>
    <w:rsid w:val="00AA5FD1"/>
    <w:rsid w:val="00AA6F8B"/>
    <w:rsid w:val="00AA7866"/>
    <w:rsid w:val="00AB2997"/>
    <w:rsid w:val="00AB7F4A"/>
    <w:rsid w:val="00AD4CD3"/>
    <w:rsid w:val="00AD7263"/>
    <w:rsid w:val="00AF368F"/>
    <w:rsid w:val="00AF696A"/>
    <w:rsid w:val="00AF75DC"/>
    <w:rsid w:val="00B06C08"/>
    <w:rsid w:val="00B073DA"/>
    <w:rsid w:val="00B151A1"/>
    <w:rsid w:val="00B15423"/>
    <w:rsid w:val="00B1767F"/>
    <w:rsid w:val="00B177F6"/>
    <w:rsid w:val="00B1790F"/>
    <w:rsid w:val="00B2586E"/>
    <w:rsid w:val="00B3384C"/>
    <w:rsid w:val="00B36ADA"/>
    <w:rsid w:val="00B41F19"/>
    <w:rsid w:val="00B546CA"/>
    <w:rsid w:val="00B73779"/>
    <w:rsid w:val="00B81760"/>
    <w:rsid w:val="00B84C72"/>
    <w:rsid w:val="00B87612"/>
    <w:rsid w:val="00B938AF"/>
    <w:rsid w:val="00B94025"/>
    <w:rsid w:val="00B94968"/>
    <w:rsid w:val="00B94C93"/>
    <w:rsid w:val="00B958C2"/>
    <w:rsid w:val="00B95D87"/>
    <w:rsid w:val="00B971FE"/>
    <w:rsid w:val="00BA1852"/>
    <w:rsid w:val="00BA6CB4"/>
    <w:rsid w:val="00BA7663"/>
    <w:rsid w:val="00BB0E22"/>
    <w:rsid w:val="00BC1958"/>
    <w:rsid w:val="00BC453F"/>
    <w:rsid w:val="00BD00B8"/>
    <w:rsid w:val="00BD0631"/>
    <w:rsid w:val="00BD7E74"/>
    <w:rsid w:val="00BE4726"/>
    <w:rsid w:val="00BE4D17"/>
    <w:rsid w:val="00BE5755"/>
    <w:rsid w:val="00BE6309"/>
    <w:rsid w:val="00BF189F"/>
    <w:rsid w:val="00BF28DC"/>
    <w:rsid w:val="00C00CAA"/>
    <w:rsid w:val="00C048AC"/>
    <w:rsid w:val="00C13EAD"/>
    <w:rsid w:val="00C23B3C"/>
    <w:rsid w:val="00C3512A"/>
    <w:rsid w:val="00C407EC"/>
    <w:rsid w:val="00C441BD"/>
    <w:rsid w:val="00C46D0E"/>
    <w:rsid w:val="00C537AF"/>
    <w:rsid w:val="00C557AA"/>
    <w:rsid w:val="00C57B68"/>
    <w:rsid w:val="00C633B0"/>
    <w:rsid w:val="00C66277"/>
    <w:rsid w:val="00C70827"/>
    <w:rsid w:val="00C72099"/>
    <w:rsid w:val="00C764C6"/>
    <w:rsid w:val="00C76BAA"/>
    <w:rsid w:val="00C81A9C"/>
    <w:rsid w:val="00C81E1D"/>
    <w:rsid w:val="00C85CA5"/>
    <w:rsid w:val="00C86799"/>
    <w:rsid w:val="00C87813"/>
    <w:rsid w:val="00C92F6E"/>
    <w:rsid w:val="00C94561"/>
    <w:rsid w:val="00CA302D"/>
    <w:rsid w:val="00CA67D3"/>
    <w:rsid w:val="00CA7A76"/>
    <w:rsid w:val="00CB2B1F"/>
    <w:rsid w:val="00CB5272"/>
    <w:rsid w:val="00CC3647"/>
    <w:rsid w:val="00CD02DE"/>
    <w:rsid w:val="00CD3F6F"/>
    <w:rsid w:val="00CD56BB"/>
    <w:rsid w:val="00CE2FD6"/>
    <w:rsid w:val="00CE3B51"/>
    <w:rsid w:val="00CF0CC4"/>
    <w:rsid w:val="00CF1B3D"/>
    <w:rsid w:val="00CF482C"/>
    <w:rsid w:val="00CF6598"/>
    <w:rsid w:val="00CF65A7"/>
    <w:rsid w:val="00CF6EFC"/>
    <w:rsid w:val="00D039DE"/>
    <w:rsid w:val="00D053F9"/>
    <w:rsid w:val="00D060CD"/>
    <w:rsid w:val="00D106EF"/>
    <w:rsid w:val="00D14C25"/>
    <w:rsid w:val="00D14FDA"/>
    <w:rsid w:val="00D16223"/>
    <w:rsid w:val="00D22995"/>
    <w:rsid w:val="00D306E5"/>
    <w:rsid w:val="00D43462"/>
    <w:rsid w:val="00D45A7B"/>
    <w:rsid w:val="00D577E5"/>
    <w:rsid w:val="00D60C10"/>
    <w:rsid w:val="00D6119A"/>
    <w:rsid w:val="00D6702B"/>
    <w:rsid w:val="00D67BA3"/>
    <w:rsid w:val="00D726A3"/>
    <w:rsid w:val="00D80481"/>
    <w:rsid w:val="00D85BF5"/>
    <w:rsid w:val="00D97644"/>
    <w:rsid w:val="00DB12E4"/>
    <w:rsid w:val="00DB2EBD"/>
    <w:rsid w:val="00DB6E53"/>
    <w:rsid w:val="00DC0164"/>
    <w:rsid w:val="00DC2CCF"/>
    <w:rsid w:val="00DC4230"/>
    <w:rsid w:val="00DD1242"/>
    <w:rsid w:val="00DD3CEA"/>
    <w:rsid w:val="00DF1FE1"/>
    <w:rsid w:val="00DF4A67"/>
    <w:rsid w:val="00E03E53"/>
    <w:rsid w:val="00E042B0"/>
    <w:rsid w:val="00E078E7"/>
    <w:rsid w:val="00E15459"/>
    <w:rsid w:val="00E213B4"/>
    <w:rsid w:val="00E22CAB"/>
    <w:rsid w:val="00E27F3A"/>
    <w:rsid w:val="00E33F4C"/>
    <w:rsid w:val="00E3647B"/>
    <w:rsid w:val="00E42FF8"/>
    <w:rsid w:val="00E43215"/>
    <w:rsid w:val="00E47025"/>
    <w:rsid w:val="00E54D72"/>
    <w:rsid w:val="00E570C2"/>
    <w:rsid w:val="00E57E00"/>
    <w:rsid w:val="00E6069E"/>
    <w:rsid w:val="00E64FB1"/>
    <w:rsid w:val="00E67130"/>
    <w:rsid w:val="00E8168A"/>
    <w:rsid w:val="00E84A01"/>
    <w:rsid w:val="00E90DAB"/>
    <w:rsid w:val="00EB014C"/>
    <w:rsid w:val="00EB08EF"/>
    <w:rsid w:val="00EB1099"/>
    <w:rsid w:val="00EC6B4E"/>
    <w:rsid w:val="00EC7409"/>
    <w:rsid w:val="00ED2316"/>
    <w:rsid w:val="00ED493B"/>
    <w:rsid w:val="00EE26C8"/>
    <w:rsid w:val="00EE6EA3"/>
    <w:rsid w:val="00EE73FD"/>
    <w:rsid w:val="00EF27BA"/>
    <w:rsid w:val="00EF2A3A"/>
    <w:rsid w:val="00EF3601"/>
    <w:rsid w:val="00EF3C3D"/>
    <w:rsid w:val="00EF489C"/>
    <w:rsid w:val="00F1485A"/>
    <w:rsid w:val="00F148CB"/>
    <w:rsid w:val="00F15968"/>
    <w:rsid w:val="00F16080"/>
    <w:rsid w:val="00F16917"/>
    <w:rsid w:val="00F20C25"/>
    <w:rsid w:val="00F33C1A"/>
    <w:rsid w:val="00F42A7C"/>
    <w:rsid w:val="00F44308"/>
    <w:rsid w:val="00F50503"/>
    <w:rsid w:val="00F5464A"/>
    <w:rsid w:val="00F54B4C"/>
    <w:rsid w:val="00F559A9"/>
    <w:rsid w:val="00F6488F"/>
    <w:rsid w:val="00F701F5"/>
    <w:rsid w:val="00F87542"/>
    <w:rsid w:val="00F875F0"/>
    <w:rsid w:val="00F95605"/>
    <w:rsid w:val="00F957ED"/>
    <w:rsid w:val="00FA6E07"/>
    <w:rsid w:val="00FB2801"/>
    <w:rsid w:val="00FC35B9"/>
    <w:rsid w:val="00FC3E0C"/>
    <w:rsid w:val="00FC605E"/>
    <w:rsid w:val="00FD189C"/>
    <w:rsid w:val="00FD1B24"/>
    <w:rsid w:val="00FD6365"/>
    <w:rsid w:val="00FF126A"/>
    <w:rsid w:val="00FF2F24"/>
    <w:rsid w:val="00FF3F60"/>
    <w:rsid w:val="00FF5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6914">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0E32A6"/>
    <w:pPr>
      <w:spacing w:after="200" w:line="276" w:lineRule="auto"/>
      <w:ind w:left="720"/>
      <w:contextualSpacing/>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864821"/>
    <w:pPr>
      <w:spacing w:after="100"/>
      <w:ind w:left="480"/>
    </w:pPr>
  </w:style>
  <w:style w:type="paragraph" w:customStyle="1" w:styleId="AppendixHeading">
    <w:name w:val="Appendix Heading"/>
    <w:basedOn w:val="Normal"/>
    <w:link w:val="AppendixHeadingChar"/>
    <w:qFormat/>
    <w:rsid w:val="003707C6"/>
    <w:pPr>
      <w:spacing w:before="240" w:after="160"/>
      <w:jc w:val="center"/>
    </w:pPr>
    <w:rPr>
      <w:rFonts w:ascii="Arial Bold" w:hAnsi="Arial Bold" w:cs="Arial"/>
      <w:b/>
      <w:smallCaps/>
      <w:color w:val="231C80"/>
      <w:sz w:val="38"/>
      <w:szCs w:val="38"/>
    </w:rPr>
  </w:style>
  <w:style w:type="character" w:customStyle="1" w:styleId="AppendixHeadingChar">
    <w:name w:val="Appendix Heading Char"/>
    <w:basedOn w:val="DefaultParagraphFont"/>
    <w:link w:val="AppendixHeading"/>
    <w:rsid w:val="003707C6"/>
    <w:rPr>
      <w:rFonts w:ascii="Arial Bold" w:eastAsia="Times New Roman" w:hAnsi="Arial Bold" w:cs="Arial"/>
      <w:b/>
      <w:smallCaps/>
      <w:color w:val="231C80"/>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fema.gov/media-library-data/20130726-1914-25045-8890/hseep_apr13_.pdf" TargetMode="External"/><Relationship Id="rId39" Type="http://schemas.openxmlformats.org/officeDocument/2006/relationships/hyperlink" Target="http://www.cdc.gov/nceh/radiation/" TargetMode="External"/><Relationship Id="rId3" Type="http://schemas.openxmlformats.org/officeDocument/2006/relationships/styles" Target="styles.xml"/><Relationship Id="rId21" Type="http://schemas.openxmlformats.org/officeDocument/2006/relationships/hyperlink" Target="http://www.bt.cdc.gov/radiation/resourcelibrary/populationmonitoring.asp" TargetMode="External"/><Relationship Id="rId34" Type="http://schemas.openxmlformats.org/officeDocument/2006/relationships/hyperlink" Target="http://www.bt.cdc.gov/radiation/criphysicianfactsheet.as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www.orau.gov/rsb/step/" TargetMode="External"/><Relationship Id="rId33" Type="http://schemas.openxmlformats.org/officeDocument/2006/relationships/hyperlink" Target="http://www.bt.cdc.gov/radiation/arsphysicianfactsheet.asp" TargetMode="External"/><Relationship Id="rId38" Type="http://schemas.openxmlformats.org/officeDocument/2006/relationships/hyperlink" Target="http://www.bt.cdc.gov/radiation/pdf/infographic_contamination_versus_exposure.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bt.cdc.gov/radiation/pdf/population-monitoring-guide.pdf" TargetMode="External"/><Relationship Id="rId29" Type="http://schemas.openxmlformats.org/officeDocument/2006/relationships/hyperlink" Target="http://www.bt.cdc.gov/radiation/screeningvideos/index.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orau.gov/rsb/realopt/" TargetMode="External"/><Relationship Id="rId32" Type="http://schemas.openxmlformats.org/officeDocument/2006/relationships/hyperlink" Target="http://www.bt.cdc.gov/radiation/prenatalphysician.asp" TargetMode="External"/><Relationship Id="rId37" Type="http://schemas.openxmlformats.org/officeDocument/2006/relationships/hyperlink" Target="http://www.bt.cdc.gov/radiation/pdf/infographic_radiation_and_pregnancy.pdf"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bt.cdc.gov/radiation/crc/vcrc.asp" TargetMode="External"/><Relationship Id="rId28" Type="http://schemas.openxmlformats.org/officeDocument/2006/relationships/hyperlink" Target="http://www.bt.cdc.gov/radiation/radbasics.asp" TargetMode="External"/><Relationship Id="rId36" Type="http://schemas.openxmlformats.org/officeDocument/2006/relationships/hyperlink" Target="http://www.bt.cdc.gov/radiation/prenatal.asp" TargetMode="External"/><Relationship Id="rId10" Type="http://schemas.openxmlformats.org/officeDocument/2006/relationships/hyperlink" Target="http://www.bt.cdc.gov/radiation/toolkits.asp" TargetMode="External"/><Relationship Id="rId19" Type="http://schemas.openxmlformats.org/officeDocument/2006/relationships/footer" Target="footer7.xml"/><Relationship Id="rId31" Type="http://schemas.openxmlformats.org/officeDocument/2006/relationships/hyperlink" Target="http://www.bt.cdc.gov/radiation/countermeasuretraining.asp" TargetMode="External"/><Relationship Id="rId4" Type="http://schemas.openxmlformats.org/officeDocument/2006/relationships/settings" Target="settings.xml"/><Relationship Id="rId9" Type="http://schemas.openxmlformats.org/officeDocument/2006/relationships/hyperlink" Target="mailto:rsbinfo@cdc.gov" TargetMode="External"/><Relationship Id="rId14" Type="http://schemas.openxmlformats.org/officeDocument/2006/relationships/footer" Target="footer3.xml"/><Relationship Id="rId22" Type="http://schemas.openxmlformats.org/officeDocument/2006/relationships/hyperlink" Target="http://www.orau.gov/rsb/CRCoverviewVideo/" TargetMode="External"/><Relationship Id="rId27" Type="http://schemas.openxmlformats.org/officeDocument/2006/relationships/hyperlink" Target="http://www.fema.gov/media-library-data/20130726-1828-25045-9470/national_preparedness_goal_2011.pdf" TargetMode="External"/><Relationship Id="rId30" Type="http://schemas.openxmlformats.org/officeDocument/2006/relationships/hyperlink" Target="http://www2a.cdc.gov/TCEOnline/registration/detailpage.asp?res_id=2490" TargetMode="External"/><Relationship Id="rId35" Type="http://schemas.openxmlformats.org/officeDocument/2006/relationships/hyperlink" Target="http://www.bt.cdc.gov/radiation/clinicians/evaluation/"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247A1-5D60-477A-9086-19900705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Microsoft</Company>
  <LinksUpToDate>false</LinksUpToDate>
  <CharactersWithSpaces>25563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SC&amp;A</cp:lastModifiedBy>
  <cp:revision>4</cp:revision>
  <cp:lastPrinted>2012-11-05T15:32:00Z</cp:lastPrinted>
  <dcterms:created xsi:type="dcterms:W3CDTF">2015-08-13T18:37:00Z</dcterms:created>
  <dcterms:modified xsi:type="dcterms:W3CDTF">2015-08-26T02:58:00Z</dcterms:modified>
  <cp:category>Template</cp:category>
</cp:coreProperties>
</file>